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#10</w:t>
      </w:r>
      <w:r>
        <w:rPr>
          <w:rFonts w:hint="eastAsia" w:eastAsia="宋体"/>
          <w:sz w:val="22"/>
          <w:szCs w:val="22"/>
          <w:lang w:val="en-GB" w:eastAsia="zh-CN"/>
        </w:rPr>
        <w:t>6</w:t>
      </w:r>
      <w:r>
        <w:rPr>
          <w:sz w:val="22"/>
          <w:szCs w:val="22"/>
          <w:lang w:val="en-GB"/>
        </w:rPr>
        <w:t xml:space="preserve">                                            </w:t>
      </w:r>
      <w:r>
        <w:rPr>
          <w:rFonts w:eastAsia="宋体"/>
          <w:sz w:val="22"/>
          <w:szCs w:val="22"/>
          <w:lang w:val="en-GB" w:eastAsia="zh-CN"/>
        </w:rPr>
        <w:t xml:space="preserve">      </w:t>
      </w:r>
      <w:r>
        <w:rPr>
          <w:rFonts w:hint="eastAsia" w:eastAsia="宋体"/>
          <w:sz w:val="22"/>
          <w:szCs w:val="22"/>
          <w:lang w:val="en-GB" w:eastAsia="zh-CN"/>
        </w:rPr>
        <w:t xml:space="preserve">      </w:t>
      </w:r>
      <w:r>
        <w:rPr>
          <w:sz w:val="22"/>
          <w:szCs w:val="22"/>
          <w:lang w:val="en-GB"/>
        </w:rPr>
        <w:t>R2-1905743</w:t>
      </w:r>
    </w:p>
    <w:p>
      <w:pPr>
        <w:pStyle w:val="22"/>
        <w:rPr>
          <w:rFonts w:eastAsiaTheme="minorEastAsia"/>
          <w:sz w:val="22"/>
          <w:szCs w:val="22"/>
          <w:lang w:val="en-GB" w:eastAsia="zh-CN"/>
        </w:rPr>
      </w:pPr>
      <w:r>
        <w:rPr>
          <w:rFonts w:eastAsia="宋体"/>
          <w:sz w:val="22"/>
          <w:szCs w:val="22"/>
          <w:lang w:val="en-GB" w:eastAsia="zh-CN"/>
        </w:rPr>
        <w:t>Reno</w:t>
      </w:r>
      <w:r>
        <w:rPr>
          <w:sz w:val="22"/>
          <w:szCs w:val="22"/>
          <w:lang w:val="en-GB"/>
        </w:rPr>
        <w:t xml:space="preserve">, </w:t>
      </w:r>
      <w:r>
        <w:rPr>
          <w:rFonts w:hint="eastAsia" w:eastAsiaTheme="minorEastAsia"/>
          <w:sz w:val="22"/>
          <w:szCs w:val="22"/>
          <w:lang w:val="en-GB" w:eastAsia="zh-CN"/>
        </w:rPr>
        <w:t>USA</w:t>
      </w:r>
      <w:r>
        <w:rPr>
          <w:sz w:val="22"/>
          <w:szCs w:val="22"/>
          <w:lang w:val="en-GB"/>
        </w:rPr>
        <w:t xml:space="preserve">, </w:t>
      </w:r>
      <w:r>
        <w:rPr>
          <w:rFonts w:hint="eastAsia" w:eastAsia="宋体"/>
          <w:sz w:val="22"/>
          <w:szCs w:val="22"/>
          <w:lang w:val="en-GB" w:eastAsia="zh-CN"/>
        </w:rPr>
        <w:t>13</w:t>
      </w:r>
      <w:r>
        <w:rPr>
          <w:sz w:val="22"/>
          <w:szCs w:val="22"/>
          <w:vertAlign w:val="superscript"/>
          <w:lang w:val="en-GB"/>
        </w:rPr>
        <w:t>th</w:t>
      </w:r>
      <w:r>
        <w:rPr>
          <w:rFonts w:hint="eastAsia" w:eastAsia="宋体"/>
          <w:sz w:val="22"/>
          <w:szCs w:val="22"/>
          <w:lang w:val="en-GB" w:eastAsia="zh-CN"/>
        </w:rPr>
        <w:t xml:space="preserve"> May</w:t>
      </w:r>
      <w:r>
        <w:rPr>
          <w:sz w:val="22"/>
          <w:szCs w:val="22"/>
          <w:lang w:val="en-GB"/>
        </w:rPr>
        <w:t xml:space="preserve"> – </w:t>
      </w:r>
      <w:r>
        <w:rPr>
          <w:rFonts w:hint="eastAsia" w:eastAsia="宋体"/>
          <w:sz w:val="22"/>
          <w:szCs w:val="22"/>
          <w:lang w:val="en-GB" w:eastAsia="zh-CN"/>
        </w:rPr>
        <w:t>17</w:t>
      </w:r>
      <w:r>
        <w:rPr>
          <w:rFonts w:hint="eastAsia" w:eastAsia="宋体"/>
          <w:sz w:val="22"/>
          <w:szCs w:val="22"/>
          <w:vertAlign w:val="superscript"/>
          <w:lang w:val="en-GB" w:eastAsia="zh-CN"/>
        </w:rPr>
        <w:t>th</w:t>
      </w:r>
      <w:r>
        <w:rPr>
          <w:rFonts w:hint="eastAsia" w:eastAsia="宋体"/>
          <w:sz w:val="22"/>
          <w:szCs w:val="22"/>
          <w:lang w:val="en-GB" w:eastAsia="zh-CN"/>
        </w:rPr>
        <w:t xml:space="preserve"> May</w:t>
      </w:r>
      <w:r>
        <w:rPr>
          <w:sz w:val="22"/>
          <w:szCs w:val="22"/>
          <w:lang w:val="en-GB"/>
        </w:rPr>
        <w:t xml:space="preserve"> 201</w:t>
      </w:r>
      <w:r>
        <w:rPr>
          <w:rFonts w:hint="eastAsia" w:eastAsiaTheme="minorEastAsia"/>
          <w:sz w:val="22"/>
          <w:szCs w:val="22"/>
          <w:lang w:val="en-GB" w:eastAsia="zh-CN"/>
        </w:rPr>
        <w:t>9</w:t>
      </w:r>
      <w:bookmarkStart w:id="36" w:name="_GoBack"/>
      <w:bookmarkEnd w:id="36"/>
    </w:p>
    <w:p>
      <w:pPr>
        <w:pStyle w:val="22"/>
        <w:rPr>
          <w:sz w:val="22"/>
          <w:szCs w:val="22"/>
          <w:lang w:val="en-GB"/>
        </w:rPr>
      </w:pPr>
      <w:r>
        <w:rPr>
          <w:sz w:val="22"/>
          <w:szCs w:val="22"/>
          <w:lang w:val="en-GB"/>
        </w:rPr>
        <w:t xml:space="preserve">                                   </w:t>
      </w:r>
    </w:p>
    <w:p>
      <w:pPr>
        <w:pStyle w:val="22"/>
        <w:rPr>
          <w:rFonts w:eastAsia="宋体" w:cs="Arial"/>
          <w:sz w:val="22"/>
          <w:szCs w:val="22"/>
          <w:lang w:eastAsia="zh-CN"/>
        </w:rPr>
      </w:pPr>
      <w:r>
        <w:rPr>
          <w:rFonts w:cs="Arial"/>
          <w:sz w:val="22"/>
          <w:szCs w:val="22"/>
        </w:rPr>
        <w:t>Source:</w:t>
      </w:r>
      <w:r>
        <w:rPr>
          <w:rFonts w:hint="eastAsia" w:cs="Arial" w:eastAsiaTheme="minorEastAsia"/>
          <w:sz w:val="22"/>
          <w:szCs w:val="22"/>
          <w:lang w:eastAsia="zh-CN"/>
        </w:rPr>
        <w:t xml:space="preserve">                </w:t>
      </w:r>
      <w:r>
        <w:rPr>
          <w:rFonts w:eastAsia="宋体" w:cs="Arial"/>
          <w:sz w:val="22"/>
          <w:szCs w:val="22"/>
          <w:lang w:eastAsia="zh-CN"/>
        </w:rPr>
        <w:t xml:space="preserve">CATT </w:t>
      </w:r>
    </w:p>
    <w:p>
      <w:pPr>
        <w:pStyle w:val="22"/>
        <w:tabs>
          <w:tab w:val="left" w:pos="1800"/>
          <w:tab w:val="clear" w:pos="4536"/>
        </w:tabs>
        <w:jc w:val="both"/>
        <w:rPr>
          <w:rFonts w:cs="Arial" w:eastAsiaTheme="minorEastAsia"/>
          <w:sz w:val="22"/>
          <w:szCs w:val="22"/>
          <w:lang w:eastAsia="zh-CN"/>
        </w:rPr>
      </w:pPr>
      <w:r>
        <w:rPr>
          <w:rFonts w:cs="Arial"/>
          <w:sz w:val="22"/>
          <w:szCs w:val="22"/>
        </w:rPr>
        <w:t>Title:</w:t>
      </w:r>
      <w:bookmarkStart w:id="0" w:name="Title"/>
      <w:bookmarkEnd w:id="0"/>
      <w:r>
        <w:rPr>
          <w:rFonts w:cs="Arial"/>
          <w:sz w:val="22"/>
          <w:szCs w:val="22"/>
        </w:rPr>
        <w:tab/>
      </w:r>
      <w:r>
        <w:rPr>
          <w:rFonts w:hint="eastAsia" w:cs="Arial" w:eastAsiaTheme="minorEastAsia"/>
          <w:sz w:val="22"/>
          <w:szCs w:val="22"/>
          <w:lang w:eastAsia="zh-CN"/>
        </w:rPr>
        <w:t xml:space="preserve">Further Discussion on Multiple </w:t>
      </w:r>
      <w:r>
        <w:rPr>
          <w:rFonts w:cs="Arial" w:eastAsiaTheme="minorEastAsia"/>
          <w:sz w:val="22"/>
          <w:szCs w:val="22"/>
          <w:lang w:eastAsia="zh-CN"/>
        </w:rPr>
        <w:t>Active SPS/CGs</w:t>
      </w:r>
    </w:p>
    <w:p>
      <w:pPr>
        <w:pStyle w:val="22"/>
        <w:tabs>
          <w:tab w:val="left" w:pos="1800"/>
          <w:tab w:val="clear" w:pos="4536"/>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hint="eastAsia" w:eastAsia="宋体" w:cs="Arial"/>
          <w:sz w:val="22"/>
          <w:szCs w:val="22"/>
          <w:lang w:eastAsia="zh-CN"/>
        </w:rPr>
        <w:t>11.7.2.2</w:t>
      </w:r>
    </w:p>
    <w:p>
      <w:pPr>
        <w:pStyle w:val="22"/>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and Decision</w:t>
      </w:r>
    </w:p>
    <w:p>
      <w:pPr>
        <w:pBdr>
          <w:bottom w:val="single" w:color="auto" w:sz="4" w:space="1"/>
        </w:pBdr>
        <w:tabs>
          <w:tab w:val="left" w:pos="2552"/>
        </w:tabs>
        <w:jc w:val="both"/>
      </w:pPr>
    </w:p>
    <w:p>
      <w:pPr>
        <w:pStyle w:val="2"/>
        <w:jc w:val="both"/>
        <w:rPr>
          <w:szCs w:val="28"/>
        </w:rPr>
      </w:pPr>
      <w:r>
        <w:rPr>
          <w:szCs w:val="28"/>
        </w:rPr>
        <w:t>Introduction</w:t>
      </w:r>
    </w:p>
    <w:p>
      <w:pPr>
        <w:pStyle w:val="3"/>
        <w:rPr>
          <w:rFonts w:eastAsiaTheme="minorEastAsia"/>
          <w:lang w:eastAsia="zh-CN"/>
        </w:rPr>
      </w:pPr>
      <w:bookmarkStart w:id="3" w:name="OLE_LINK1"/>
      <w:bookmarkStart w:id="4" w:name="OLE_LINK2"/>
      <w:r>
        <w:rPr>
          <w:rFonts w:eastAsiaTheme="minorEastAsia"/>
          <w:lang w:eastAsia="zh-CN"/>
        </w:rPr>
        <w:t>I</w:t>
      </w:r>
      <w:r>
        <w:rPr>
          <w:rFonts w:hint="eastAsia" w:eastAsiaTheme="minorEastAsia"/>
          <w:lang w:eastAsia="zh-CN"/>
        </w:rPr>
        <w:t xml:space="preserve">n RAN2#105bis meeting, </w:t>
      </w:r>
      <w:r>
        <w:rPr>
          <w:rFonts w:eastAsiaTheme="minorEastAsia"/>
          <w:lang w:eastAsia="zh-CN"/>
        </w:rPr>
        <w:t xml:space="preserve">RAN2 discussed several issues related to supporting </w:t>
      </w:r>
      <w:r>
        <w:rPr>
          <w:rFonts w:hint="eastAsia" w:eastAsiaTheme="minorEastAsia"/>
          <w:lang w:eastAsia="zh-CN"/>
        </w:rPr>
        <w:t xml:space="preserve">multiple </w:t>
      </w:r>
      <w:r>
        <w:rPr>
          <w:rFonts w:eastAsiaTheme="minorEastAsia"/>
          <w:lang w:eastAsia="zh-CN"/>
        </w:rPr>
        <w:t xml:space="preserve">active SPS and </w:t>
      </w:r>
      <w:r>
        <w:rPr>
          <w:rFonts w:hint="eastAsia" w:eastAsiaTheme="minorEastAsia"/>
          <w:lang w:eastAsia="zh-CN"/>
        </w:rPr>
        <w:t>CGs for TSN traffic</w:t>
      </w:r>
      <w:r>
        <w:rPr>
          <w:rFonts w:eastAsiaTheme="minorEastAsia"/>
          <w:lang w:eastAsia="zh-CN"/>
        </w:rPr>
        <w:t>,</w:t>
      </w:r>
      <w:r>
        <w:rPr>
          <w:rFonts w:hint="eastAsia" w:eastAsiaTheme="minorEastAsia"/>
          <w:lang w:eastAsia="zh-CN"/>
        </w:rPr>
        <w:t xml:space="preserve"> and the following agreements</w:t>
      </w:r>
      <w:r>
        <w:rPr>
          <w:rFonts w:eastAsiaTheme="minorEastAsia"/>
          <w:lang w:eastAsia="zh-CN"/>
        </w:rPr>
        <w:t xml:space="preserve"> were reached</w:t>
      </w:r>
      <w:r>
        <w:rPr>
          <w:rFonts w:hint="eastAsia" w:eastAsiaTheme="minorEastAsia"/>
          <w:lang w:eastAsia="zh-CN"/>
        </w:rPr>
        <w:t>:</w:t>
      </w:r>
    </w:p>
    <w:tbl>
      <w:tblPr>
        <w:tblStyle w:val="30"/>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14" w:type="dxa"/>
          </w:tcPr>
          <w:p>
            <w:pPr>
              <w:pStyle w:val="108"/>
              <w:numPr>
                <w:ilvl w:val="0"/>
                <w:numId w:val="9"/>
              </w:numPr>
              <w:tabs>
                <w:tab w:val="left" w:pos="1619"/>
                <w:tab w:val="clear" w:pos="-9157"/>
              </w:tabs>
              <w:ind w:left="641" w:hanging="357"/>
              <w:rPr>
                <w:rFonts w:ascii="Times New Roman" w:hAnsi="Times New Roman"/>
                <w:b w:val="0"/>
              </w:rPr>
            </w:pPr>
            <w:r>
              <w:rPr>
                <w:rFonts w:ascii="Times New Roman" w:hAnsi="Times New Roman"/>
                <w:b w:val="0"/>
              </w:rPr>
              <w:t>R2 assumes that the maximum number of active SPS configurations for a given BWP of a serving cell in the specification is 8 or 16 (FFS).</w:t>
            </w:r>
          </w:p>
          <w:p>
            <w:pPr>
              <w:pStyle w:val="108"/>
              <w:numPr>
                <w:ilvl w:val="0"/>
                <w:numId w:val="9"/>
              </w:numPr>
              <w:tabs>
                <w:tab w:val="left" w:pos="1619"/>
              </w:tabs>
              <w:ind w:left="641" w:hanging="357"/>
              <w:rPr>
                <w:rFonts w:ascii="Times New Roman" w:hAnsi="Times New Roman"/>
                <w:b w:val="0"/>
              </w:rPr>
            </w:pPr>
            <w:r>
              <w:rPr>
                <w:rFonts w:ascii="Times New Roman" w:hAnsi="Times New Roman"/>
                <w:b w:val="0"/>
              </w:rPr>
              <w:t xml:space="preserve">R2 assumes that activation/deactivation is done by DCI. </w:t>
            </w:r>
          </w:p>
          <w:p>
            <w:pPr>
              <w:pStyle w:val="108"/>
              <w:numPr>
                <w:ilvl w:val="0"/>
                <w:numId w:val="9"/>
              </w:numPr>
              <w:tabs>
                <w:tab w:val="left" w:pos="1619"/>
              </w:tabs>
              <w:ind w:left="641" w:hanging="357"/>
              <w:rPr>
                <w:rFonts w:ascii="Times New Roman" w:hAnsi="Times New Roman"/>
                <w:b w:val="0"/>
              </w:rPr>
            </w:pPr>
            <w:r>
              <w:rPr>
                <w:rFonts w:ascii="Times New Roman" w:hAnsi="Times New Roman"/>
                <w:b w:val="0"/>
              </w:rPr>
              <w:t>RAN1 should address activation/deactivation DCIs related with configured grant Type 2 and SPS in the case of multiple configurations</w:t>
            </w:r>
          </w:p>
          <w:p>
            <w:pPr>
              <w:pStyle w:val="108"/>
              <w:numPr>
                <w:ilvl w:val="0"/>
                <w:numId w:val="9"/>
              </w:numPr>
              <w:tabs>
                <w:tab w:val="left" w:pos="1619"/>
              </w:tabs>
              <w:ind w:left="641" w:hanging="357"/>
              <w:rPr>
                <w:rFonts w:ascii="Times New Roman" w:hAnsi="Times New Roman" w:eastAsiaTheme="minorEastAsia"/>
                <w:b w:val="0"/>
                <w:lang w:eastAsia="zh-CN"/>
              </w:rPr>
            </w:pPr>
            <w:r>
              <w:rPr>
                <w:rFonts w:ascii="Times New Roman" w:hAnsi="Times New Roman"/>
                <w:b w:val="0"/>
              </w:rPr>
              <w:t>When multiple UL CG or DL SPS configurations is configured, an offset for each configuration is needed for the calculation of the HARQ process ID</w:t>
            </w:r>
          </w:p>
          <w:p>
            <w:pPr>
              <w:rPr>
                <w:rFonts w:eastAsiaTheme="minorEastAsia"/>
                <w:lang w:val="en-GB" w:eastAsia="zh-CN"/>
              </w:rPr>
            </w:pPr>
          </w:p>
        </w:tc>
      </w:tr>
    </w:tbl>
    <w:p>
      <w:pPr>
        <w:pStyle w:val="3"/>
        <w:spacing w:before="120" w:beforeLines="50"/>
        <w:rPr>
          <w:rFonts w:eastAsiaTheme="minorEastAsia"/>
          <w:lang w:eastAsia="zh-CN"/>
        </w:rPr>
      </w:pPr>
      <w:r>
        <w:rPr>
          <w:rFonts w:hint="eastAsia" w:eastAsiaTheme="minorEastAsia"/>
          <w:lang w:eastAsia="zh-CN"/>
        </w:rPr>
        <w:t xml:space="preserve">In this contribution, we will further discuss the remaining open issues for </w:t>
      </w:r>
      <w:r>
        <w:rPr>
          <w:rFonts w:eastAsiaTheme="minorEastAsia"/>
          <w:lang w:eastAsia="zh-CN"/>
        </w:rPr>
        <w:t>multiple active SPSs/CGs:</w:t>
      </w:r>
    </w:p>
    <w:p>
      <w:pPr>
        <w:pStyle w:val="3"/>
        <w:numPr>
          <w:ilvl w:val="0"/>
          <w:numId w:val="10"/>
        </w:numPr>
        <w:spacing w:after="0"/>
        <w:ind w:hangingChars="210"/>
        <w:rPr>
          <w:rFonts w:eastAsiaTheme="minorEastAsia"/>
          <w:lang w:eastAsia="zh-CN"/>
        </w:rPr>
      </w:pPr>
      <w:r>
        <w:rPr>
          <w:rFonts w:eastAsiaTheme="minorEastAsia"/>
          <w:lang w:eastAsia="zh-CN"/>
        </w:rPr>
        <w:t>Issue 1: How to configure the multiple SPSs and CGs?</w:t>
      </w:r>
    </w:p>
    <w:p>
      <w:pPr>
        <w:pStyle w:val="3"/>
        <w:numPr>
          <w:ilvl w:val="0"/>
          <w:numId w:val="10"/>
        </w:numPr>
        <w:spacing w:after="0"/>
        <w:ind w:hangingChars="210"/>
        <w:rPr>
          <w:rFonts w:eastAsiaTheme="minorEastAsia"/>
          <w:lang w:eastAsia="zh-CN"/>
        </w:rPr>
      </w:pPr>
      <w:r>
        <w:rPr>
          <w:rFonts w:eastAsiaTheme="minorEastAsia"/>
          <w:lang w:eastAsia="zh-CN"/>
        </w:rPr>
        <w:t>Issue 2: How to calculate the HARQ ID?</w:t>
      </w:r>
    </w:p>
    <w:p>
      <w:pPr>
        <w:pStyle w:val="3"/>
        <w:numPr>
          <w:ilvl w:val="0"/>
          <w:numId w:val="10"/>
        </w:numPr>
        <w:spacing w:after="0"/>
        <w:ind w:hangingChars="210"/>
        <w:rPr>
          <w:rFonts w:eastAsiaTheme="minorEastAsia"/>
          <w:lang w:eastAsia="zh-CN"/>
        </w:rPr>
      </w:pPr>
      <w:r>
        <w:rPr>
          <w:rFonts w:eastAsiaTheme="minorEastAsia"/>
          <w:lang w:eastAsia="zh-CN"/>
        </w:rPr>
        <w:t>Issue 3: How to design the CG confirmation MAC CE?</w:t>
      </w:r>
    </w:p>
    <w:p>
      <w:pPr>
        <w:pStyle w:val="3"/>
        <w:numPr>
          <w:ilvl w:val="0"/>
          <w:numId w:val="10"/>
        </w:numPr>
        <w:spacing w:after="0"/>
        <w:ind w:hangingChars="210"/>
        <w:rPr>
          <w:rFonts w:eastAsiaTheme="minorEastAsia"/>
          <w:lang w:eastAsia="zh-CN"/>
        </w:rPr>
      </w:pPr>
      <w:r>
        <w:rPr>
          <w:rFonts w:eastAsiaTheme="minorEastAsia"/>
          <w:lang w:eastAsia="zh-CN"/>
        </w:rPr>
        <w:t>Issue 4: What is the impact of introducing multiple CGs on LCP?</w:t>
      </w:r>
    </w:p>
    <w:p>
      <w:pPr>
        <w:pStyle w:val="3"/>
        <w:spacing w:before="120" w:beforeLines="50"/>
        <w:rPr>
          <w:rFonts w:eastAsiaTheme="minorEastAsia"/>
          <w:lang w:eastAsia="zh-CN"/>
        </w:rPr>
      </w:pPr>
      <w:r>
        <w:rPr>
          <w:rFonts w:hint="eastAsia" w:eastAsiaTheme="minorEastAsia"/>
          <w:lang w:eastAsia="zh-CN"/>
        </w:rPr>
        <w:t xml:space="preserve">Based on the analysis, </w:t>
      </w:r>
      <w:r>
        <w:rPr>
          <w:rFonts w:eastAsiaTheme="minorEastAsia"/>
          <w:lang w:eastAsia="zh-CN"/>
        </w:rPr>
        <w:t>our preferences are given.</w:t>
      </w:r>
      <w:r>
        <w:rPr>
          <w:rFonts w:hint="eastAsia" w:eastAsiaTheme="minorEastAsia"/>
          <w:lang w:eastAsia="zh-CN"/>
        </w:rPr>
        <w:t xml:space="preserve"> </w:t>
      </w:r>
    </w:p>
    <w:bookmarkEnd w:id="3"/>
    <w:bookmarkEnd w:id="4"/>
    <w:p>
      <w:pPr>
        <w:pStyle w:val="2"/>
        <w:jc w:val="both"/>
      </w:pPr>
      <w:r>
        <w:rPr>
          <w:rFonts w:hint="eastAsia"/>
        </w:rPr>
        <w:t>Discussion</w:t>
      </w:r>
    </w:p>
    <w:p>
      <w:pPr>
        <w:pStyle w:val="4"/>
        <w:ind w:left="562" w:hanging="562"/>
        <w:jc w:val="both"/>
        <w:rPr>
          <w:rFonts w:eastAsiaTheme="minorEastAsia"/>
        </w:rPr>
      </w:pPr>
      <w:r>
        <w:rPr>
          <w:rFonts w:hint="eastAsia" w:eastAsiaTheme="minorEastAsia"/>
        </w:rPr>
        <w:t xml:space="preserve">Multiple </w:t>
      </w:r>
      <w:r>
        <w:rPr>
          <w:rFonts w:eastAsiaTheme="minorEastAsia"/>
        </w:rPr>
        <w:t>SPSs/</w:t>
      </w:r>
      <w:r>
        <w:rPr>
          <w:rFonts w:hint="eastAsia" w:eastAsiaTheme="minorEastAsia"/>
        </w:rPr>
        <w:t>CGs configurations</w:t>
      </w:r>
    </w:p>
    <w:p>
      <w:pPr>
        <w:pStyle w:val="3"/>
        <w:spacing w:before="120" w:beforeLines="50"/>
        <w:rPr>
          <w:rFonts w:eastAsiaTheme="minorEastAsia"/>
          <w:lang w:eastAsia="zh-CN"/>
        </w:rPr>
      </w:pPr>
      <w:r>
        <w:rPr>
          <w:rFonts w:hint="eastAsia" w:eastAsiaTheme="minor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hint="eastAsia" w:eastAsiaTheme="minorEastAsia"/>
          <w:lang w:eastAsia="zh-CN"/>
        </w:rPr>
        <w:instrText xml:space="preserve">REF _Ref6562900 \n \h</w:instrText>
      </w:r>
      <w:r>
        <w:rPr>
          <w:rFonts w:eastAsiaTheme="minorEastAsia"/>
          <w:lang w:eastAsia="zh-CN"/>
        </w:rPr>
        <w:instrText xml:space="preserve"> </w:instrText>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hint="eastAsia" w:eastAsiaTheme="minorEastAsia"/>
          <w:lang w:eastAsia="zh-CN"/>
        </w:rPr>
        <w:t>, RAN1 defined two use cases for multiple CGs, listed below:</w:t>
      </w:r>
    </w:p>
    <w:p>
      <w:pPr>
        <w:pStyle w:val="3"/>
        <w:numPr>
          <w:ilvl w:val="0"/>
          <w:numId w:val="10"/>
        </w:numPr>
        <w:spacing w:after="0"/>
        <w:ind w:hangingChars="210"/>
        <w:rPr>
          <w:rFonts w:eastAsiaTheme="minorEastAsia"/>
          <w:lang w:eastAsia="zh-CN"/>
        </w:rPr>
      </w:pPr>
      <w:bookmarkStart w:id="5" w:name="OLE_LINK9"/>
      <w:bookmarkStart w:id="6" w:name="OLE_LINK10"/>
      <w:r>
        <w:rPr>
          <w:rFonts w:hint="eastAsia" w:eastAsiaTheme="minorEastAsia"/>
          <w:lang w:eastAsia="zh-CN"/>
        </w:rPr>
        <w:t>Use case 1:</w:t>
      </w:r>
      <w:r>
        <w:rPr>
          <w:rFonts w:eastAsiaTheme="minorEastAsia"/>
          <w:lang w:eastAsia="zh-CN"/>
        </w:rPr>
        <w:t xml:space="preserve"> Multiple </w:t>
      </w:r>
      <w:r>
        <w:rPr>
          <w:rFonts w:hint="eastAsia" w:eastAsiaTheme="minorEastAsia"/>
          <w:lang w:eastAsia="zh-CN"/>
        </w:rPr>
        <w:t>CG</w:t>
      </w:r>
      <w:r>
        <w:rPr>
          <w:rFonts w:eastAsiaTheme="minorEastAsia"/>
          <w:lang w:eastAsia="zh-CN"/>
        </w:rPr>
        <w:t xml:space="preserve"> configurations are for different service/traffic types</w:t>
      </w:r>
      <w:r>
        <w:rPr>
          <w:rFonts w:hint="eastAsia" w:eastAsiaTheme="minorEastAsia"/>
          <w:lang w:eastAsia="zh-CN"/>
        </w:rPr>
        <w:t>;</w:t>
      </w:r>
    </w:p>
    <w:p>
      <w:pPr>
        <w:pStyle w:val="3"/>
        <w:numPr>
          <w:ilvl w:val="0"/>
          <w:numId w:val="10"/>
        </w:numPr>
        <w:spacing w:after="0"/>
        <w:ind w:hangingChars="210"/>
        <w:rPr>
          <w:rFonts w:eastAsiaTheme="minorEastAsia"/>
          <w:lang w:eastAsia="zh-CN"/>
        </w:rPr>
      </w:pPr>
      <w:r>
        <w:rPr>
          <w:rFonts w:hint="eastAsia" w:eastAsiaTheme="minorEastAsia"/>
          <w:lang w:eastAsia="zh-CN"/>
        </w:rPr>
        <w:t>Use case 2</w:t>
      </w:r>
      <w:r>
        <w:rPr>
          <w:rFonts w:eastAsiaTheme="minorEastAsia"/>
          <w:lang w:eastAsia="zh-CN"/>
        </w:rPr>
        <w:t>: M</w:t>
      </w:r>
      <w:r>
        <w:rPr>
          <w:rFonts w:hint="eastAsia" w:eastAsiaTheme="minorEastAsia"/>
          <w:lang w:eastAsia="zh-CN"/>
        </w:rPr>
        <w:t>ultiple CG configurations are used for enhancing reliability and latency.</w:t>
      </w:r>
    </w:p>
    <w:bookmarkEnd w:id="5"/>
    <w:bookmarkEnd w:id="6"/>
    <w:p>
      <w:pPr>
        <w:pStyle w:val="3"/>
        <w:spacing w:before="120" w:beforeLines="50"/>
        <w:rPr>
          <w:rFonts w:eastAsiaTheme="minorEastAsia"/>
          <w:lang w:eastAsia="zh-CN"/>
        </w:rPr>
      </w:pPr>
      <w:r>
        <w:rPr>
          <w:rFonts w:hint="eastAsia" w:eastAsiaTheme="minorEastAsia"/>
          <w:lang w:eastAsia="zh-CN"/>
        </w:rPr>
        <w:t xml:space="preserve">For use case 1, it is similar </w:t>
      </w:r>
      <w:r>
        <w:rPr>
          <w:rFonts w:eastAsiaTheme="minorEastAsia"/>
          <w:lang w:eastAsia="zh-CN"/>
        </w:rPr>
        <w:t>to</w:t>
      </w:r>
      <w:r>
        <w:rPr>
          <w:rFonts w:hint="eastAsia" w:eastAsiaTheme="minorEastAsia"/>
          <w:lang w:eastAsia="zh-CN"/>
        </w:rPr>
        <w:t xml:space="preserve"> the LTE multiple UL SPS, </w:t>
      </w:r>
      <w:r>
        <w:rPr>
          <w:rFonts w:eastAsiaTheme="minorEastAsia"/>
          <w:lang w:eastAsia="zh-CN"/>
        </w:rPr>
        <w:t xml:space="preserve">i.e. </w:t>
      </w:r>
      <w:r>
        <w:rPr>
          <w:rFonts w:hint="eastAsia" w:eastAsiaTheme="minorEastAsia"/>
          <w:lang w:eastAsia="zh-CN"/>
        </w:rPr>
        <w:t xml:space="preserve">different </w:t>
      </w:r>
      <w:r>
        <w:rPr>
          <w:rFonts w:eastAsiaTheme="minorEastAsia"/>
          <w:lang w:eastAsia="zh-CN"/>
        </w:rPr>
        <w:t>SPS/</w:t>
      </w:r>
      <w:r>
        <w:rPr>
          <w:rFonts w:hint="eastAsia" w:eastAsiaTheme="minorEastAsia"/>
          <w:lang w:eastAsia="zh-CN"/>
        </w:rPr>
        <w:t xml:space="preserve">CG </w:t>
      </w:r>
      <w:r>
        <w:rPr>
          <w:rFonts w:eastAsiaTheme="minorEastAsia"/>
          <w:lang w:eastAsia="zh-CN"/>
        </w:rPr>
        <w:t xml:space="preserve">configurations </w:t>
      </w:r>
      <w:r>
        <w:rPr>
          <w:rFonts w:hint="eastAsia" w:eastAsiaTheme="minorEastAsia"/>
          <w:lang w:eastAsia="zh-CN"/>
        </w:rPr>
        <w:t xml:space="preserve">aim </w:t>
      </w:r>
      <w:r>
        <w:rPr>
          <w:rFonts w:eastAsiaTheme="minorEastAsia"/>
          <w:lang w:eastAsia="zh-CN"/>
        </w:rPr>
        <w:t xml:space="preserve">at addressing </w:t>
      </w:r>
      <w:r>
        <w:rPr>
          <w:rFonts w:hint="eastAsia" w:eastAsiaTheme="minorEastAsia"/>
          <w:lang w:eastAsia="zh-CN"/>
        </w:rPr>
        <w:t xml:space="preserve">different logical channels. Hence for use case 1, the multiple </w:t>
      </w:r>
      <w:r>
        <w:rPr>
          <w:rFonts w:eastAsiaTheme="minorEastAsia"/>
          <w:lang w:eastAsia="zh-CN"/>
        </w:rPr>
        <w:t>SPS/</w:t>
      </w:r>
      <w:r>
        <w:rPr>
          <w:rFonts w:hint="eastAsia" w:eastAsiaTheme="minorEastAsia"/>
          <w:lang w:eastAsia="zh-CN"/>
        </w:rPr>
        <w:t xml:space="preserve">CG configurations can follow the LTE multiple UL SPS configurations. </w:t>
      </w:r>
      <w:r>
        <w:rPr>
          <w:rFonts w:eastAsiaTheme="minorEastAsia"/>
          <w:lang w:eastAsia="zh-CN"/>
        </w:rPr>
        <w:t>In other words,</w:t>
      </w:r>
      <w:r>
        <w:rPr>
          <w:rFonts w:hint="eastAsia" w:eastAsiaTheme="minorEastAsia"/>
          <w:lang w:eastAsia="zh-CN"/>
        </w:rPr>
        <w:t xml:space="preserve"> one </w:t>
      </w:r>
      <w:r>
        <w:rPr>
          <w:rFonts w:eastAsiaTheme="minorEastAsia"/>
          <w:lang w:eastAsia="zh-CN"/>
        </w:rPr>
        <w:t>SPS/</w:t>
      </w:r>
      <w:r>
        <w:rPr>
          <w:rFonts w:hint="eastAsia" w:eastAsiaTheme="minorEastAsia"/>
          <w:lang w:eastAsia="zh-CN"/>
        </w:rPr>
        <w:t xml:space="preserve">CG index should be introduced for each </w:t>
      </w:r>
      <w:r>
        <w:rPr>
          <w:rFonts w:eastAsiaTheme="minorEastAsia"/>
          <w:lang w:eastAsia="zh-CN"/>
        </w:rPr>
        <w:t>SPS/</w:t>
      </w:r>
      <w:r>
        <w:rPr>
          <w:rFonts w:hint="eastAsia" w:eastAsiaTheme="minorEastAsia"/>
          <w:lang w:eastAsia="zh-CN"/>
        </w:rPr>
        <w:t>CG</w:t>
      </w:r>
      <w:r>
        <w:rPr>
          <w:rFonts w:eastAsiaTheme="minorEastAsia"/>
          <w:lang w:eastAsia="zh-CN"/>
        </w:rPr>
        <w:t xml:space="preserve"> configuration</w:t>
      </w:r>
      <w:r>
        <w:rPr>
          <w:rFonts w:hint="eastAsia" w:eastAsiaTheme="minorEastAsia"/>
          <w:lang w:eastAsia="zh-CN"/>
        </w:rPr>
        <w:t xml:space="preserve">, and the </w:t>
      </w:r>
      <w:r>
        <w:rPr>
          <w:rFonts w:eastAsiaTheme="minorEastAsia"/>
          <w:lang w:eastAsia="zh-CN"/>
        </w:rPr>
        <w:t>SPS/</w:t>
      </w:r>
      <w:r>
        <w:rPr>
          <w:rFonts w:hint="eastAsia" w:eastAsiaTheme="minorEastAsia"/>
          <w:lang w:eastAsia="zh-CN"/>
        </w:rPr>
        <w:t xml:space="preserve">CG related configuration, e.g., periodicity, number of HARQ processes, HARQ process ID offset and so on, can be linked to the </w:t>
      </w:r>
      <w:r>
        <w:rPr>
          <w:rFonts w:eastAsiaTheme="minorEastAsia"/>
          <w:lang w:eastAsia="zh-CN"/>
        </w:rPr>
        <w:t>SPS/</w:t>
      </w:r>
      <w:r>
        <w:rPr>
          <w:rFonts w:hint="eastAsia" w:eastAsiaTheme="minorEastAsia"/>
          <w:lang w:eastAsia="zh-CN"/>
        </w:rPr>
        <w:t xml:space="preserve">CG index. </w:t>
      </w:r>
      <w:r>
        <w:rPr>
          <w:rFonts w:eastAsiaTheme="minorEastAsia"/>
          <w:lang w:eastAsia="zh-CN"/>
        </w:rPr>
        <w:t xml:space="preserve">This is illustrated </w:t>
      </w:r>
      <w:r>
        <w:rPr>
          <w:rFonts w:hint="eastAsia" w:eastAsiaTheme="minorEastAsia"/>
          <w:lang w:eastAsia="zh-CN"/>
        </w:rPr>
        <w:t xml:space="preserve">in following </w:t>
      </w:r>
      <w:r>
        <w:rPr>
          <w:rFonts w:eastAsiaTheme="minorEastAsia"/>
          <w:lang w:eastAsia="zh-CN"/>
        </w:rPr>
        <w:fldChar w:fldCharType="begin"/>
      </w:r>
      <w:r>
        <w:rPr>
          <w:rFonts w:eastAsiaTheme="minorEastAsia"/>
          <w:lang w:eastAsia="zh-CN"/>
        </w:rPr>
        <w:instrText xml:space="preserve"> </w:instrText>
      </w:r>
      <w:r>
        <w:rPr>
          <w:rFonts w:hint="eastAsia" w:eastAsiaTheme="minorEastAsia"/>
          <w:lang w:eastAsia="zh-CN"/>
        </w:rPr>
        <w:instrText xml:space="preserve">REF _Ref7079893 \h</w:instrText>
      </w:r>
      <w:r>
        <w:rPr>
          <w:rFonts w:eastAsiaTheme="minorEastAsia"/>
          <w:lang w:eastAsia="zh-CN"/>
        </w:rPr>
        <w:instrText xml:space="preserve">  \* MERGEFORMAT </w:instrText>
      </w:r>
      <w:r>
        <w:rPr>
          <w:rFonts w:eastAsiaTheme="minorEastAsia"/>
          <w:lang w:eastAsia="zh-CN"/>
        </w:rPr>
        <w:fldChar w:fldCharType="separate"/>
      </w:r>
      <w:r>
        <w:t>Figure 1</w:t>
      </w:r>
      <w:r>
        <w:rPr>
          <w:rFonts w:eastAsiaTheme="minorEastAsia"/>
          <w:lang w:eastAsia="zh-CN"/>
        </w:rPr>
        <w:fldChar w:fldCharType="end"/>
      </w:r>
      <w:r>
        <w:rPr>
          <w:rFonts w:hint="eastAsia" w:eastAsiaTheme="minorEastAsia"/>
          <w:lang w:eastAsia="zh-CN"/>
        </w:rPr>
        <w:t>:</w:t>
      </w:r>
    </w:p>
    <w:p>
      <w:pPr>
        <w:pStyle w:val="3"/>
        <w:spacing w:before="120" w:beforeLines="50"/>
        <w:rPr>
          <w:rFonts w:eastAsiaTheme="minorEastAsia"/>
          <w:lang w:eastAsia="zh-CN"/>
        </w:rPr>
      </w:pPr>
    </w:p>
    <w:p>
      <w:pPr>
        <w:pStyle w:val="3"/>
        <w:rPr>
          <w:rFonts w:eastAsiaTheme="minorEastAsia"/>
          <w:lang w:eastAsia="zh-CN"/>
        </w:rPr>
      </w:pPr>
      <w:r>
        <w:object>
          <v:shape id="_x0000_i1025" o:spt="75" type="#_x0000_t75" style="height:80.65pt;width:415.3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pStyle w:val="14"/>
        <w:ind w:firstLine="1104" w:firstLineChars="550"/>
        <w:rPr>
          <w:b/>
          <w:lang w:eastAsia="zh-CN"/>
        </w:rPr>
      </w:pPr>
      <w:bookmarkStart w:id="7" w:name="_Ref7079893"/>
      <w:r>
        <w:rPr>
          <w:b/>
        </w:rPr>
        <w:t xml:space="preserve">Figure </w:t>
      </w:r>
      <w:r>
        <w:rPr>
          <w:b/>
        </w:rPr>
        <w:fldChar w:fldCharType="begin"/>
      </w:r>
      <w:r>
        <w:rPr>
          <w:b/>
        </w:rPr>
        <w:instrText xml:space="preserve"> SEQ Figure \* ARABIC </w:instrText>
      </w:r>
      <w:r>
        <w:rPr>
          <w:b/>
        </w:rPr>
        <w:fldChar w:fldCharType="separate"/>
      </w:r>
      <w:r>
        <w:rPr>
          <w:b/>
        </w:rPr>
        <w:t>1</w:t>
      </w:r>
      <w:r>
        <w:rPr>
          <w:b/>
        </w:rPr>
        <w:fldChar w:fldCharType="end"/>
      </w:r>
      <w:bookmarkEnd w:id="7"/>
      <w:r>
        <w:rPr>
          <w:b/>
        </w:rPr>
        <w:t>:</w:t>
      </w:r>
      <w:r>
        <w:rPr>
          <w:rFonts w:hint="eastAsia"/>
          <w:b/>
          <w:lang w:eastAsia="zh-CN"/>
        </w:rPr>
        <w:t xml:space="preserve"> Example of multiple CGs for different TSC traffics</w:t>
      </w:r>
    </w:p>
    <w:p>
      <w:pPr>
        <w:rPr>
          <w:rFonts w:eastAsiaTheme="minorEastAsia"/>
          <w:lang w:val="en-GB" w:eastAsia="zh-CN"/>
        </w:rPr>
      </w:pPr>
    </w:p>
    <w:p>
      <w:pPr>
        <w:pStyle w:val="14"/>
        <w:rPr>
          <w:rFonts w:eastAsiaTheme="minorEastAsia"/>
          <w:b/>
          <w:lang w:eastAsia="zh-CN"/>
        </w:rPr>
      </w:pPr>
      <w:bookmarkStart w:id="8" w:name="_Ref7013198"/>
      <w:bookmarkStart w:id="9" w:name="_Toc7514895"/>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rFonts w:hint="eastAsia"/>
          <w:b/>
          <w:lang w:eastAsia="zh-CN"/>
        </w:rPr>
        <w:t>:</w:t>
      </w:r>
      <w:r>
        <w:rPr>
          <w:rFonts w:hint="eastAsia" w:eastAsiaTheme="minorEastAsia"/>
          <w:b/>
          <w:lang w:eastAsia="zh-CN"/>
        </w:rPr>
        <w:t xml:space="preserve"> CG index should be introduced to identify the multiple CGs for different TSC traffic patterns.</w:t>
      </w:r>
      <w:bookmarkEnd w:id="8"/>
      <w:bookmarkEnd w:id="9"/>
    </w:p>
    <w:p>
      <w:pPr>
        <w:pStyle w:val="3"/>
        <w:rPr>
          <w:rFonts w:eastAsiaTheme="minorEastAsia"/>
          <w:lang w:eastAsia="zh-CN"/>
        </w:rPr>
      </w:pPr>
      <w:r>
        <w:rPr>
          <w:rFonts w:hint="eastAsia" w:eastAsiaTheme="minorEastAsia"/>
          <w:lang w:eastAsia="zh-CN"/>
        </w:rPr>
        <w:t xml:space="preserve">For use case 2, the multiple </w:t>
      </w:r>
      <w:r>
        <w:rPr>
          <w:rFonts w:eastAsiaTheme="minorEastAsia"/>
          <w:lang w:eastAsia="zh-CN"/>
        </w:rPr>
        <w:t>SPS/</w:t>
      </w:r>
      <w:r>
        <w:rPr>
          <w:rFonts w:hint="eastAsia" w:eastAsiaTheme="minorEastAsia"/>
          <w:lang w:eastAsia="zh-CN"/>
        </w:rPr>
        <w:t xml:space="preserve">CG </w:t>
      </w:r>
      <w:r>
        <w:rPr>
          <w:rFonts w:eastAsiaTheme="minorEastAsia"/>
          <w:lang w:eastAsia="zh-CN"/>
        </w:rPr>
        <w:t>configurations</w:t>
      </w:r>
      <w:r>
        <w:rPr>
          <w:rFonts w:hint="eastAsia" w:eastAsiaTheme="minorEastAsia"/>
          <w:lang w:eastAsia="zh-CN"/>
        </w:rPr>
        <w:t xml:space="preserve"> aim </w:t>
      </w:r>
      <w:r>
        <w:rPr>
          <w:rFonts w:eastAsiaTheme="minorEastAsia"/>
          <w:lang w:eastAsia="zh-CN"/>
        </w:rPr>
        <w:t xml:space="preserve">at addressing </w:t>
      </w:r>
      <w:r>
        <w:rPr>
          <w:rFonts w:hint="eastAsia" w:eastAsiaTheme="minorEastAsia"/>
          <w:lang w:eastAsia="zh-CN"/>
        </w:rPr>
        <w:t xml:space="preserve">only one </w:t>
      </w:r>
      <w:r>
        <w:rPr>
          <w:rFonts w:eastAsiaTheme="minorEastAsia"/>
          <w:lang w:eastAsia="zh-CN"/>
        </w:rPr>
        <w:t xml:space="preserve">periodic and </w:t>
      </w:r>
      <w:r>
        <w:rPr>
          <w:rFonts w:hint="eastAsia" w:eastAsiaTheme="minorEastAsia"/>
          <w:lang w:eastAsia="zh-CN"/>
        </w:rPr>
        <w:t xml:space="preserve">low latency </w:t>
      </w:r>
      <w:r>
        <w:rPr>
          <w:rFonts w:eastAsiaTheme="minorEastAsia"/>
          <w:lang w:eastAsia="zh-CN"/>
        </w:rPr>
        <w:t>traffic,</w:t>
      </w:r>
      <w:r>
        <w:rPr>
          <w:rFonts w:hint="eastAsia" w:eastAsiaTheme="minorEastAsia"/>
          <w:lang w:eastAsia="zh-CN"/>
        </w:rPr>
        <w:t xml:space="preserve"> </w:t>
      </w:r>
      <w:r>
        <w:rPr>
          <w:rFonts w:eastAsiaTheme="minorEastAsia"/>
          <w:lang w:eastAsia="zh-CN"/>
        </w:rPr>
        <w:t>which data burst arrival times are known</w:t>
      </w:r>
      <w:r>
        <w:rPr>
          <w:rFonts w:hint="eastAsia" w:eastAsiaTheme="minorEastAsia"/>
          <w:lang w:eastAsia="zh-CN"/>
        </w:rPr>
        <w:t xml:space="preserve"> </w:t>
      </w:r>
      <w:r>
        <w:rPr>
          <w:rFonts w:eastAsiaTheme="minorEastAsia"/>
          <w:lang w:eastAsia="zh-CN"/>
        </w:rPr>
        <w:t xml:space="preserve">but may experience some jitter. In TSN networks, this is typically the case e.g. of a flow scheduled within a specific time slot of an IEEE802.1Qbv recurring cycle. As a result, such traffic cannot be safely supported by only one SPS/CG allocation but requires multiple consecutive identical </w:t>
      </w:r>
      <w:r>
        <w:rPr>
          <w:rFonts w:hint="eastAsia" w:eastAsiaTheme="minorEastAsia"/>
          <w:lang w:eastAsia="zh-CN"/>
        </w:rPr>
        <w:t xml:space="preserve">configured grant </w:t>
      </w:r>
      <w:r>
        <w:rPr>
          <w:rFonts w:eastAsiaTheme="minorEastAsia"/>
          <w:lang w:eastAsia="zh-CN"/>
        </w:rPr>
        <w:t xml:space="preserve">allocations (see </w:t>
      </w:r>
      <w:r>
        <w:rPr>
          <w:rFonts w:eastAsiaTheme="minorEastAsia"/>
          <w:lang w:eastAsia="zh-CN"/>
        </w:rPr>
        <w:fldChar w:fldCharType="begin"/>
      </w:r>
      <w:r>
        <w:rPr>
          <w:rFonts w:eastAsiaTheme="minorEastAsia"/>
          <w:lang w:eastAsia="zh-CN"/>
        </w:rPr>
        <w:instrText xml:space="preserve"> REF _Ref7079939 \h  \* MERGEFORMAT </w:instrText>
      </w:r>
      <w:r>
        <w:rPr>
          <w:rFonts w:eastAsiaTheme="minorEastAsia"/>
          <w:lang w:eastAsia="zh-CN"/>
        </w:rPr>
        <w:fldChar w:fldCharType="separate"/>
      </w:r>
      <w:r>
        <w:t>Figure 2</w:t>
      </w:r>
      <w:r>
        <w:rPr>
          <w:rFonts w:eastAsiaTheme="minorEastAsia"/>
          <w:lang w:eastAsia="zh-CN"/>
        </w:rPr>
        <w:fldChar w:fldCharType="end"/>
      </w:r>
      <w:r>
        <w:rPr>
          <w:rFonts w:eastAsiaTheme="minorEastAsia"/>
          <w:lang w:eastAsia="zh-CN"/>
        </w:rPr>
        <w:t>)</w:t>
      </w:r>
      <w:r>
        <w:rPr>
          <w:rFonts w:hint="eastAsia" w:eastAsiaTheme="minorEastAsia"/>
          <w:lang w:eastAsia="zh-CN"/>
        </w:rPr>
        <w:t xml:space="preserve">. Since </w:t>
      </w:r>
      <w:r>
        <w:rPr>
          <w:rFonts w:eastAsiaTheme="minorEastAsia"/>
          <w:lang w:eastAsia="zh-CN"/>
        </w:rPr>
        <w:t xml:space="preserve">such </w:t>
      </w:r>
      <w:r>
        <w:rPr>
          <w:rFonts w:eastAsiaTheme="minorEastAsia"/>
          <w:i/>
          <w:lang w:eastAsia="zh-CN"/>
        </w:rPr>
        <w:t>staggered</w:t>
      </w:r>
      <w:r>
        <w:rPr>
          <w:rFonts w:eastAsiaTheme="minorEastAsia"/>
          <w:lang w:eastAsia="zh-CN"/>
        </w:rPr>
        <w:t xml:space="preserve"> SPS/CG configurations come in support of only </w:t>
      </w:r>
      <w:r>
        <w:rPr>
          <w:rFonts w:hint="eastAsia" w:eastAsiaTheme="minorEastAsia"/>
          <w:lang w:eastAsia="zh-CN"/>
        </w:rPr>
        <w:t>one logical channel, the</w:t>
      </w:r>
      <w:r>
        <w:rPr>
          <w:rFonts w:eastAsiaTheme="minorEastAsia"/>
          <w:lang w:eastAsia="zh-CN"/>
        </w:rPr>
        <w:t xml:space="preserve">y </w:t>
      </w:r>
      <w:r>
        <w:rPr>
          <w:rFonts w:hint="eastAsia" w:eastAsiaTheme="minorEastAsia"/>
          <w:lang w:eastAsia="zh-CN"/>
        </w:rPr>
        <w:t xml:space="preserve">should share the same </w:t>
      </w:r>
      <w:r>
        <w:rPr>
          <w:rFonts w:eastAsiaTheme="minorEastAsia"/>
          <w:lang w:eastAsia="zh-CN"/>
        </w:rPr>
        <w:t>configuration</w:t>
      </w:r>
      <w:r>
        <w:rPr>
          <w:rFonts w:hint="eastAsia" w:eastAsiaTheme="minorEastAsia"/>
          <w:lang w:eastAsia="zh-CN"/>
        </w:rPr>
        <w:t xml:space="preserve"> parameters, such as the periodicity, </w:t>
      </w:r>
      <w:r>
        <w:rPr>
          <w:rFonts w:eastAsiaTheme="minorEastAsia"/>
          <w:lang w:eastAsia="zh-CN"/>
        </w:rPr>
        <w:t>the HARQ</w:t>
      </w:r>
      <w:r>
        <w:rPr>
          <w:rFonts w:hint="eastAsia" w:eastAsiaTheme="minorEastAsia"/>
          <w:lang w:eastAsia="zh-CN"/>
        </w:rPr>
        <w:t xml:space="preserve"> process ID offset</w:t>
      </w:r>
      <w:r>
        <w:rPr>
          <w:rFonts w:eastAsiaTheme="minorEastAsia"/>
          <w:lang w:eastAsia="zh-CN"/>
        </w:rPr>
        <w:t>,</w:t>
      </w:r>
      <w:r>
        <w:rPr>
          <w:rFonts w:hint="eastAsia" w:eastAsiaTheme="minorEastAsia"/>
          <w:lang w:eastAsia="zh-CN"/>
        </w:rPr>
        <w:t xml:space="preserve"> </w:t>
      </w:r>
      <w:r>
        <w:rPr>
          <w:rFonts w:eastAsiaTheme="minorEastAsia"/>
          <w:lang w:eastAsia="zh-CN"/>
        </w:rPr>
        <w:t>etc.</w:t>
      </w:r>
      <w:r>
        <w:rPr>
          <w:rFonts w:hint="eastAsia" w:eastAsiaTheme="minorEastAsia"/>
          <w:lang w:eastAsia="zh-CN"/>
        </w:rPr>
        <w:t xml:space="preserve"> </w:t>
      </w:r>
      <w:r>
        <w:rPr>
          <w:rFonts w:eastAsiaTheme="minorEastAsia"/>
          <w:lang w:eastAsia="zh-CN"/>
        </w:rPr>
        <w:t>H</w:t>
      </w:r>
      <w:r>
        <w:rPr>
          <w:rFonts w:hint="eastAsia" w:eastAsiaTheme="minorEastAsia"/>
          <w:lang w:eastAsia="zh-CN"/>
        </w:rPr>
        <w:t xml:space="preserve">ence there is no need to treat them as separate </w:t>
      </w:r>
      <w:r>
        <w:rPr>
          <w:rFonts w:eastAsiaTheme="minorEastAsia"/>
          <w:lang w:eastAsia="zh-CN"/>
        </w:rPr>
        <w:t>SPS/</w:t>
      </w:r>
      <w:r>
        <w:rPr>
          <w:rFonts w:hint="eastAsia" w:eastAsiaTheme="minorEastAsia"/>
          <w:lang w:eastAsia="zh-CN"/>
        </w:rPr>
        <w:t xml:space="preserve">CG configurations. </w:t>
      </w:r>
      <w:r>
        <w:rPr>
          <w:rFonts w:eastAsiaTheme="minorEastAsia"/>
          <w:lang w:eastAsia="zh-CN"/>
        </w:rPr>
        <w:t xml:space="preserve">As suggested in </w:t>
      </w:r>
      <w:r>
        <w:rPr>
          <w:rFonts w:eastAsiaTheme="minorEastAsia"/>
          <w:lang w:eastAsia="zh-CN"/>
        </w:rPr>
        <w:fldChar w:fldCharType="begin"/>
      </w:r>
      <w:r>
        <w:rPr>
          <w:rFonts w:eastAsiaTheme="minorEastAsia"/>
          <w:lang w:eastAsia="zh-CN"/>
        </w:rPr>
        <w:instrText xml:space="preserve"> REF _Ref7191558 \n \h </w:instrText>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 t</w:t>
      </w:r>
      <w:r>
        <w:rPr>
          <w:rFonts w:hint="eastAsia" w:eastAsiaTheme="minorEastAsia"/>
          <w:lang w:eastAsia="zh-CN"/>
        </w:rPr>
        <w:t xml:space="preserve">he best way is to gather them into one </w:t>
      </w:r>
      <w:r>
        <w:rPr>
          <w:rFonts w:eastAsiaTheme="minorEastAsia"/>
          <w:lang w:eastAsia="zh-CN"/>
        </w:rPr>
        <w:t xml:space="preserve">SPS/CG </w:t>
      </w:r>
      <w:r>
        <w:rPr>
          <w:rFonts w:hint="eastAsia" w:eastAsiaTheme="minorEastAsia"/>
          <w:lang w:eastAsia="zh-CN"/>
        </w:rPr>
        <w:t xml:space="preserve">group. </w:t>
      </w:r>
      <w:r>
        <w:rPr>
          <w:rFonts w:eastAsiaTheme="minorEastAsia"/>
          <w:lang w:eastAsia="zh-CN"/>
        </w:rPr>
        <w:t xml:space="preserve">We can further discuss how </w:t>
      </w:r>
      <w:r>
        <w:rPr>
          <w:rFonts w:hint="eastAsia" w:eastAsiaTheme="minorEastAsia"/>
          <w:lang w:eastAsia="zh-CN"/>
        </w:rPr>
        <w:t xml:space="preserve">to represent this group when configuring the </w:t>
      </w:r>
      <w:r>
        <w:rPr>
          <w:rFonts w:eastAsiaTheme="minorEastAsia"/>
          <w:i/>
          <w:lang w:eastAsia="zh-CN"/>
        </w:rPr>
        <w:t>staggered</w:t>
      </w:r>
      <w:r>
        <w:rPr>
          <w:rFonts w:eastAsiaTheme="minorEastAsia"/>
          <w:lang w:eastAsia="zh-CN"/>
        </w:rPr>
        <w:t xml:space="preserve"> SPSs/CGs</w:t>
      </w:r>
      <w:r>
        <w:rPr>
          <w:rFonts w:hint="eastAsia" w:eastAsiaTheme="minorEastAsia"/>
          <w:lang w:eastAsia="zh-CN"/>
        </w:rPr>
        <w:t xml:space="preserve">. From the RRC signaling overhead perspective, the simplest way is to link them with the same CG index and </w:t>
      </w:r>
      <w:r>
        <w:rPr>
          <w:rFonts w:eastAsiaTheme="minorEastAsia"/>
          <w:lang w:eastAsia="zh-CN"/>
        </w:rPr>
        <w:t>a common</w:t>
      </w:r>
      <w:r>
        <w:rPr>
          <w:rFonts w:hint="eastAsia" w:eastAsiaTheme="minorEastAsia"/>
          <w:lang w:eastAsia="zh-CN"/>
        </w:rPr>
        <w:t xml:space="preserve"> </w:t>
      </w:r>
      <w:r>
        <w:rPr>
          <w:rFonts w:eastAsiaTheme="minorEastAsia"/>
          <w:lang w:eastAsia="zh-CN"/>
        </w:rPr>
        <w:t>time offset for the group (tied to the 1</w:t>
      </w:r>
      <w:r>
        <w:rPr>
          <w:rFonts w:eastAsiaTheme="minorEastAsia"/>
          <w:vertAlign w:val="superscript"/>
          <w:lang w:eastAsia="zh-CN"/>
        </w:rPr>
        <w:t>st</w:t>
      </w:r>
      <w:r>
        <w:rPr>
          <w:rFonts w:eastAsiaTheme="minorEastAsia"/>
          <w:lang w:eastAsia="zh-CN"/>
        </w:rPr>
        <w:t xml:space="preserve"> SPS/CG occurrence) and a 2</w:t>
      </w:r>
      <w:r>
        <w:rPr>
          <w:rFonts w:eastAsiaTheme="minorEastAsia"/>
          <w:vertAlign w:val="superscript"/>
          <w:lang w:eastAsia="zh-CN"/>
        </w:rPr>
        <w:t>nd</w:t>
      </w:r>
      <w:r>
        <w:rPr>
          <w:rFonts w:eastAsiaTheme="minorEastAsia"/>
          <w:lang w:eastAsia="zh-CN"/>
        </w:rPr>
        <w:t xml:space="preserve"> time offset defining the relative spacing of the consecutive SPS/CG allocations.</w:t>
      </w:r>
      <w:r>
        <w:rPr>
          <w:rFonts w:hint="eastAsia" w:eastAsiaTheme="minorEastAsia"/>
          <w:lang w:eastAsia="zh-CN"/>
        </w:rPr>
        <w:t xml:space="preserve"> </w:t>
      </w:r>
      <w:r>
        <w:rPr>
          <w:rFonts w:eastAsiaTheme="minorEastAsia"/>
          <w:lang w:eastAsia="zh-CN"/>
        </w:rPr>
        <w:t xml:space="preserve">This is illustrated </w:t>
      </w:r>
      <w:r>
        <w:rPr>
          <w:rFonts w:hint="eastAsia" w:eastAsiaTheme="minor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hint="eastAsia" w:eastAsiaTheme="minorEastAsia"/>
          <w:lang w:eastAsia="zh-CN"/>
        </w:rPr>
        <w:instrText xml:space="preserve">REF _Ref7079939 \h</w:instrText>
      </w:r>
      <w:r>
        <w:rPr>
          <w:rFonts w:eastAsiaTheme="minorEastAsia"/>
          <w:lang w:eastAsia="zh-CN"/>
        </w:rPr>
        <w:instrText xml:space="preserve">  \* MERGEFORMAT </w:instrText>
      </w:r>
      <w:r>
        <w:rPr>
          <w:rFonts w:eastAsiaTheme="minorEastAsia"/>
          <w:lang w:eastAsia="zh-CN"/>
        </w:rPr>
        <w:fldChar w:fldCharType="separate"/>
      </w:r>
      <w:r>
        <w:t>Figure 2</w:t>
      </w:r>
      <w:r>
        <w:rPr>
          <w:rFonts w:eastAsiaTheme="minorEastAsia"/>
          <w:lang w:eastAsia="zh-CN"/>
        </w:rPr>
        <w:fldChar w:fldCharType="end"/>
      </w:r>
      <w:r>
        <w:rPr>
          <w:rFonts w:hint="eastAsia" w:eastAsiaTheme="minorEastAsia"/>
          <w:lang w:eastAsia="zh-CN"/>
        </w:rPr>
        <w:t xml:space="preserve"> </w:t>
      </w:r>
      <w:r>
        <w:rPr>
          <w:rFonts w:eastAsiaTheme="minorEastAsia"/>
          <w:lang w:eastAsia="zh-CN"/>
        </w:rPr>
        <w:t xml:space="preserve">where </w:t>
      </w:r>
      <w:r>
        <w:rPr>
          <w:rFonts w:hint="eastAsia" w:eastAsiaTheme="minorEastAsia"/>
          <w:lang w:eastAsia="zh-CN"/>
        </w:rPr>
        <w:t>we group three sub-sets of CGs (represented by the green, the yellow and the blue) into one CG group using the same CG index (CG config#0).</w:t>
      </w:r>
    </w:p>
    <w:p>
      <w:pPr>
        <w:pStyle w:val="3"/>
        <w:rPr>
          <w:rFonts w:eastAsiaTheme="minorEastAsia"/>
          <w:lang w:eastAsia="zh-CN"/>
        </w:rPr>
      </w:pPr>
    </w:p>
    <w:p>
      <w:pPr>
        <w:pStyle w:val="3"/>
        <w:rPr>
          <w:rFonts w:eastAsiaTheme="minorEastAsia"/>
          <w:lang w:eastAsia="zh-CN"/>
        </w:rPr>
      </w:pPr>
      <w:r>
        <w:object>
          <v:shape id="_x0000_i1026" o:spt="75" type="#_x0000_t75" style="height:69.1pt;width:414.7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r:id="rId9">
            <o:LockedField>false</o:LockedField>
          </o:OLEObject>
        </w:object>
      </w:r>
    </w:p>
    <w:p>
      <w:pPr>
        <w:pStyle w:val="14"/>
        <w:ind w:firstLine="703" w:firstLineChars="350"/>
        <w:rPr>
          <w:b/>
          <w:lang w:eastAsia="zh-CN"/>
        </w:rPr>
      </w:pPr>
      <w:bookmarkStart w:id="10" w:name="_Ref7079939"/>
      <w:r>
        <w:rPr>
          <w:b/>
        </w:rPr>
        <w:t xml:space="preserve">Figure </w:t>
      </w:r>
      <w:r>
        <w:rPr>
          <w:b/>
        </w:rPr>
        <w:fldChar w:fldCharType="begin"/>
      </w:r>
      <w:r>
        <w:rPr>
          <w:b/>
        </w:rPr>
        <w:instrText xml:space="preserve"> SEQ Figure \* ARABIC </w:instrText>
      </w:r>
      <w:r>
        <w:rPr>
          <w:b/>
        </w:rPr>
        <w:fldChar w:fldCharType="separate"/>
      </w:r>
      <w:r>
        <w:rPr>
          <w:b/>
        </w:rPr>
        <w:t>2</w:t>
      </w:r>
      <w:r>
        <w:rPr>
          <w:b/>
        </w:rPr>
        <w:fldChar w:fldCharType="end"/>
      </w:r>
      <w:bookmarkEnd w:id="10"/>
      <w:r>
        <w:rPr>
          <w:b/>
        </w:rPr>
        <w:t>:</w:t>
      </w:r>
      <w:r>
        <w:rPr>
          <w:rFonts w:hint="eastAsia"/>
          <w:b/>
          <w:lang w:eastAsia="zh-CN"/>
        </w:rPr>
        <w:t xml:space="preserve"> Example of multiple CGs for enhancing reliability and/or reducing latency</w:t>
      </w:r>
    </w:p>
    <w:p>
      <w:pPr>
        <w:pStyle w:val="14"/>
        <w:spacing w:after="0"/>
        <w:jc w:val="both"/>
        <w:rPr>
          <w:b/>
          <w:lang w:eastAsia="zh-CN"/>
        </w:rPr>
      </w:pPr>
    </w:p>
    <w:p>
      <w:pPr>
        <w:pStyle w:val="14"/>
        <w:rPr>
          <w:b/>
        </w:rPr>
      </w:pPr>
      <w:bookmarkStart w:id="11" w:name="_Ref7013204"/>
      <w:bookmarkStart w:id="12" w:name="_Toc7514896"/>
      <w:bookmarkStart w:id="13" w:name="OLE_LINK35"/>
      <w:bookmarkStart w:id="14" w:name="OLE_LINK36"/>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rFonts w:hint="eastAsia"/>
          <w:b/>
        </w:rPr>
        <w:t xml:space="preserve">:  The multiple </w:t>
      </w:r>
      <w:r>
        <w:rPr>
          <w:b/>
        </w:rPr>
        <w:t>SPS/</w:t>
      </w:r>
      <w:r>
        <w:rPr>
          <w:rFonts w:hint="eastAsia"/>
          <w:b/>
        </w:rPr>
        <w:t xml:space="preserve">CGs used for </w:t>
      </w:r>
      <w:r>
        <w:rPr>
          <w:b/>
        </w:rPr>
        <w:t xml:space="preserve">addressing the arrival time jitter of a low-latency traffic flow </w:t>
      </w:r>
      <w:r>
        <w:rPr>
          <w:rFonts w:hint="eastAsia"/>
          <w:b/>
        </w:rPr>
        <w:t xml:space="preserve">can be gathered into one group sharing the same </w:t>
      </w:r>
      <w:r>
        <w:rPr>
          <w:b/>
        </w:rPr>
        <w:t>SPS/</w:t>
      </w:r>
      <w:r>
        <w:rPr>
          <w:rFonts w:hint="eastAsia"/>
          <w:b/>
        </w:rPr>
        <w:t>CG configuration index.</w:t>
      </w:r>
      <w:bookmarkEnd w:id="11"/>
      <w:bookmarkEnd w:id="12"/>
    </w:p>
    <w:bookmarkEnd w:id="13"/>
    <w:bookmarkEnd w:id="14"/>
    <w:p>
      <w:pPr>
        <w:rPr>
          <w:rFonts w:eastAsiaTheme="minorEastAsia"/>
          <w:lang w:val="en-GB" w:eastAsia="zh-CN"/>
        </w:rPr>
      </w:pPr>
    </w:p>
    <w:p>
      <w:pPr>
        <w:jc w:val="both"/>
        <w:rPr>
          <w:rFonts w:eastAsiaTheme="minorEastAsia"/>
          <w:lang w:val="en-GB" w:eastAsia="zh-CN"/>
        </w:rPr>
      </w:pPr>
      <w:r>
        <w:rPr>
          <w:rFonts w:hint="eastAsia" w:eastAsiaTheme="minorEastAsia"/>
          <w:lang w:val="en-GB" w:eastAsia="zh-CN"/>
        </w:rPr>
        <w:t xml:space="preserve">Currently RAN2 assumes </w:t>
      </w:r>
      <w:r>
        <w:rPr>
          <w:rFonts w:eastAsiaTheme="minorEastAsia"/>
          <w:lang w:val="en-GB" w:eastAsia="zh-CN"/>
        </w:rPr>
        <w:t xml:space="preserve">that the maximum number of active </w:t>
      </w:r>
      <w:r>
        <w:rPr>
          <w:rFonts w:hint="eastAsia" w:eastAsiaTheme="minorEastAsia"/>
          <w:lang w:val="en-GB" w:eastAsia="zh-CN"/>
        </w:rPr>
        <w:t xml:space="preserve">CG </w:t>
      </w:r>
      <w:r>
        <w:rPr>
          <w:rFonts w:eastAsiaTheme="minorEastAsia"/>
          <w:lang w:val="en-GB" w:eastAsia="zh-CN"/>
        </w:rPr>
        <w:t xml:space="preserve">configurations for a given BWP of a serving cell is 8 or 16, and further guidance was asked to RAN1 in </w:t>
      </w:r>
      <w:r>
        <w:rPr>
          <w:rFonts w:eastAsiaTheme="minorEastAsia"/>
          <w:lang w:val="en-GB" w:eastAsia="zh-CN"/>
        </w:rPr>
        <w:fldChar w:fldCharType="begin"/>
      </w:r>
      <w:r>
        <w:rPr>
          <w:rFonts w:eastAsiaTheme="minorEastAsia"/>
          <w:lang w:val="en-GB" w:eastAsia="zh-CN"/>
        </w:rPr>
        <w:instrText xml:space="preserve"> REF _Ref7192097 \r \h </w:instrText>
      </w:r>
      <w:r>
        <w:rPr>
          <w:rFonts w:eastAsiaTheme="minorEastAsia"/>
          <w:lang w:val="en-GB" w:eastAsia="zh-CN"/>
        </w:rPr>
        <w:fldChar w:fldCharType="separate"/>
      </w:r>
      <w:r>
        <w:rPr>
          <w:rFonts w:eastAsiaTheme="minorEastAsia"/>
          <w:lang w:val="en-GB" w:eastAsia="zh-CN"/>
        </w:rPr>
        <w:t>[6]</w:t>
      </w:r>
      <w:r>
        <w:rPr>
          <w:rFonts w:eastAsiaTheme="minorEastAsia"/>
          <w:lang w:val="en-GB" w:eastAsia="zh-CN"/>
        </w:rPr>
        <w:fldChar w:fldCharType="end"/>
      </w:r>
      <w:r>
        <w:rPr>
          <w:rFonts w:eastAsiaTheme="minorEastAsia"/>
          <w:lang w:val="en-GB" w:eastAsia="zh-CN"/>
        </w:rPr>
        <w:t xml:space="preserve"> on their preferred value</w:t>
      </w:r>
      <w:r>
        <w:rPr>
          <w:rFonts w:hint="eastAsia" w:eastAsiaTheme="minorEastAsia"/>
          <w:lang w:val="en-GB" w:eastAsia="zh-CN"/>
        </w:rPr>
        <w:t xml:space="preserve">. </w:t>
      </w:r>
      <w:r>
        <w:rPr>
          <w:rFonts w:eastAsiaTheme="minorEastAsia"/>
          <w:lang w:val="en-GB" w:eastAsia="zh-CN"/>
        </w:rPr>
        <w:t>The above sets the maximum number of SPS/CG configurations per BWP, but in case of CA a maximum number should also be agreed, at MAC entity level. We</w:t>
      </w:r>
      <w:r>
        <w:rPr>
          <w:rFonts w:hint="eastAsia" w:eastAsiaTheme="minorEastAsia"/>
          <w:lang w:val="en-GB" w:eastAsia="zh-CN"/>
        </w:rPr>
        <w:t xml:space="preserve"> think the number of 16 is also </w:t>
      </w:r>
      <w:r>
        <w:rPr>
          <w:rFonts w:eastAsiaTheme="minorEastAsia"/>
          <w:lang w:val="en-GB" w:eastAsia="zh-CN"/>
        </w:rPr>
        <w:t xml:space="preserve">quite reasonable </w:t>
      </w:r>
      <w:r>
        <w:rPr>
          <w:rFonts w:hint="eastAsia" w:eastAsiaTheme="minorEastAsia"/>
          <w:lang w:val="en-GB" w:eastAsia="zh-CN"/>
        </w:rPr>
        <w:t xml:space="preserve">for </w:t>
      </w:r>
      <w:r>
        <w:rPr>
          <w:rFonts w:eastAsiaTheme="minorEastAsia"/>
          <w:lang w:val="en-GB" w:eastAsia="zh-CN"/>
        </w:rPr>
        <w:t xml:space="preserve">the </w:t>
      </w:r>
      <w:r>
        <w:rPr>
          <w:rFonts w:hint="eastAsia" w:eastAsiaTheme="minorEastAsia"/>
          <w:lang w:val="en-GB" w:eastAsia="zh-CN"/>
        </w:rPr>
        <w:t xml:space="preserve">CA case. That is to say, for one </w:t>
      </w:r>
      <w:r>
        <w:rPr>
          <w:rFonts w:eastAsiaTheme="minorEastAsia"/>
          <w:lang w:val="en-GB" w:eastAsia="zh-CN"/>
        </w:rPr>
        <w:t>MAC entity</w:t>
      </w:r>
      <w:r>
        <w:rPr>
          <w:rFonts w:hint="eastAsia" w:eastAsiaTheme="minorEastAsia"/>
          <w:lang w:val="en-GB" w:eastAsia="zh-CN"/>
        </w:rPr>
        <w:t xml:space="preserve">, it is suggested that at most 16 </w:t>
      </w:r>
      <w:r>
        <w:rPr>
          <w:rFonts w:eastAsiaTheme="minorEastAsia"/>
          <w:lang w:val="en-GB" w:eastAsia="zh-CN"/>
        </w:rPr>
        <w:t>SPS/</w:t>
      </w:r>
      <w:r>
        <w:rPr>
          <w:rFonts w:hint="eastAsia" w:eastAsiaTheme="minorEastAsia"/>
          <w:lang w:val="en-GB" w:eastAsia="zh-CN"/>
        </w:rPr>
        <w:t xml:space="preserve">CGs </w:t>
      </w:r>
      <w:r>
        <w:rPr>
          <w:rFonts w:eastAsiaTheme="minorEastAsia"/>
          <w:lang w:val="en-GB" w:eastAsia="zh-CN"/>
        </w:rPr>
        <w:t>can be configured</w:t>
      </w:r>
      <w:r>
        <w:rPr>
          <w:rFonts w:hint="eastAsia" w:eastAsiaTheme="minorEastAsia"/>
          <w:lang w:val="en-GB" w:eastAsia="zh-CN"/>
        </w:rPr>
        <w:t>.</w:t>
      </w:r>
    </w:p>
    <w:p>
      <w:pPr>
        <w:pStyle w:val="14"/>
        <w:rPr>
          <w:b/>
        </w:rPr>
      </w:pPr>
      <w:bookmarkStart w:id="15" w:name="_Toc7514897"/>
      <w:bookmarkStart w:id="16" w:name="_Ref7191953"/>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rFonts w:hint="eastAsia"/>
          <w:b/>
        </w:rPr>
        <w:t xml:space="preserve">:  The maximum number of </w:t>
      </w:r>
      <w:r>
        <w:rPr>
          <w:b/>
        </w:rPr>
        <w:t>SPS/</w:t>
      </w:r>
      <w:r>
        <w:rPr>
          <w:rFonts w:hint="eastAsia"/>
          <w:b/>
        </w:rPr>
        <w:t xml:space="preserve">CGs </w:t>
      </w:r>
      <w:r>
        <w:rPr>
          <w:b/>
        </w:rPr>
        <w:t>per MAC entity is</w:t>
      </w:r>
      <w:r>
        <w:rPr>
          <w:rFonts w:hint="eastAsia"/>
          <w:b/>
        </w:rPr>
        <w:t xml:space="preserve"> 16.</w:t>
      </w:r>
      <w:bookmarkEnd w:id="15"/>
      <w:bookmarkEnd w:id="16"/>
    </w:p>
    <w:p>
      <w:pPr>
        <w:pStyle w:val="4"/>
        <w:ind w:left="562" w:hanging="562"/>
        <w:jc w:val="both"/>
        <w:rPr>
          <w:rFonts w:eastAsiaTheme="minorEastAsia"/>
        </w:rPr>
      </w:pPr>
      <w:r>
        <w:rPr>
          <w:rFonts w:hint="eastAsia" w:eastAsiaTheme="minorEastAsia"/>
        </w:rPr>
        <w:t>HARQ process ID calculation</w:t>
      </w:r>
    </w:p>
    <w:p>
      <w:pPr>
        <w:pStyle w:val="3"/>
        <w:rPr>
          <w:rFonts w:eastAsiaTheme="minorEastAsia"/>
          <w:lang w:eastAsia="zh-CN"/>
        </w:rPr>
      </w:pPr>
      <w:r>
        <w:rPr>
          <w:rFonts w:hint="eastAsia" w:eastAsiaTheme="minorEastAsia"/>
          <w:lang w:eastAsia="zh-CN"/>
        </w:rPr>
        <w:t xml:space="preserve">In RAN2# 105bis meeting, it was agreed that </w:t>
      </w:r>
      <w:r>
        <w:rPr>
          <w:rFonts w:hint="eastAsia" w:eastAsiaTheme="minorEastAsia"/>
          <w:i/>
          <w:lang w:eastAsia="zh-CN"/>
        </w:rPr>
        <w:t xml:space="preserve">one offset is needed for the calculation of the HARQ process ID </w:t>
      </w:r>
      <w:r>
        <w:rPr>
          <w:rFonts w:eastAsiaTheme="minorEastAsia"/>
          <w:lang w:eastAsia="zh-CN"/>
        </w:rPr>
        <w:fldChar w:fldCharType="begin"/>
      </w:r>
      <w:r>
        <w:rPr>
          <w:rFonts w:eastAsiaTheme="minorEastAsia"/>
          <w:lang w:eastAsia="zh-CN"/>
        </w:rPr>
        <w:instrText xml:space="preserve"> </w:instrText>
      </w:r>
      <w:r>
        <w:rPr>
          <w:rFonts w:hint="eastAsia" w:eastAsiaTheme="minorEastAsia"/>
          <w:lang w:eastAsia="zh-CN"/>
        </w:rPr>
        <w:instrText xml:space="preserve">REF _Ref7358801 \r \h</w:instrText>
      </w:r>
      <w:r>
        <w:rPr>
          <w:rFonts w:eastAsiaTheme="minorEastAsia"/>
          <w:lang w:eastAsia="zh-CN"/>
        </w:rPr>
        <w:instrText xml:space="preserve">  \* MERGEFORMAT </w:instrText>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hint="eastAsia" w:eastAsiaTheme="minorEastAsia"/>
          <w:lang w:eastAsia="zh-CN"/>
        </w:rPr>
        <w:t xml:space="preserve">. In this section, we discuss different alternatives </w:t>
      </w:r>
      <w:r>
        <w:rPr>
          <w:rFonts w:eastAsiaTheme="minorEastAsia"/>
          <w:lang w:eastAsia="zh-CN"/>
        </w:rPr>
        <w:t>addressing</w:t>
      </w:r>
      <w:r>
        <w:rPr>
          <w:rFonts w:hint="eastAsia" w:eastAsiaTheme="minorEastAsia"/>
          <w:lang w:eastAsia="zh-CN"/>
        </w:rPr>
        <w:t xml:space="preserve"> the </w:t>
      </w:r>
      <w:r>
        <w:rPr>
          <w:rFonts w:hint="eastAsia" w:eastAsiaTheme="minorEastAsia"/>
          <w:i/>
          <w:lang w:eastAsia="zh-CN"/>
        </w:rPr>
        <w:t>Offset</w:t>
      </w:r>
      <w:r>
        <w:rPr>
          <w:rFonts w:hint="eastAsia" w:eastAsiaTheme="minorEastAsia"/>
          <w:lang w:eastAsia="zh-CN"/>
        </w:rPr>
        <w:t xml:space="preserve"> issue.</w:t>
      </w:r>
    </w:p>
    <w:tbl>
      <w:tblPr>
        <w:tblStyle w:val="3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pStyle w:val="108"/>
              <w:tabs>
                <w:tab w:val="left" w:pos="1619"/>
                <w:tab w:val="clear" w:pos="-9157"/>
              </w:tabs>
              <w:ind w:left="1619"/>
            </w:pPr>
            <w:r>
              <w:t>When multiple UL CG or DL SPS configurations is configured, an offset for each configuration is needed for the calculation of the HARQ process ID</w:t>
            </w:r>
          </w:p>
        </w:tc>
      </w:tr>
    </w:tbl>
    <w:p>
      <w:pPr>
        <w:pStyle w:val="3"/>
        <w:spacing w:before="240"/>
        <w:rPr>
          <w:rFonts w:eastAsiaTheme="minorEastAsia"/>
          <w:b/>
          <w:i/>
          <w:u w:val="single"/>
          <w:lang w:eastAsia="zh-CN"/>
        </w:rPr>
      </w:pPr>
      <w:r>
        <w:rPr>
          <w:rFonts w:hint="eastAsia" w:eastAsiaTheme="minorEastAsia"/>
          <w:b/>
          <w:i/>
          <w:u w:val="single"/>
          <w:lang w:eastAsia="zh-CN"/>
        </w:rPr>
        <w:t xml:space="preserve">Alternative 1: Offset is </w:t>
      </w:r>
      <w:r>
        <w:rPr>
          <w:rFonts w:eastAsiaTheme="minorEastAsia"/>
          <w:b/>
          <w:i/>
          <w:u w:val="single"/>
          <w:lang w:eastAsia="zh-CN"/>
        </w:rPr>
        <w:t>signaled</w:t>
      </w:r>
      <w:r>
        <w:rPr>
          <w:rFonts w:hint="eastAsia" w:eastAsiaTheme="minorEastAsia"/>
          <w:b/>
          <w:i/>
          <w:u w:val="single"/>
          <w:lang w:eastAsia="zh-CN"/>
        </w:rPr>
        <w:t xml:space="preserve"> by RRC</w:t>
      </w:r>
    </w:p>
    <w:p>
      <w:pPr>
        <w:pStyle w:val="3"/>
        <w:rPr>
          <w:rFonts w:eastAsiaTheme="minorEastAsia"/>
          <w:lang w:eastAsia="zh-CN"/>
        </w:rPr>
      </w:pPr>
      <w:r>
        <w:rPr>
          <w:rFonts w:hint="eastAsia" w:eastAsiaTheme="minorEastAsia"/>
          <w:lang w:eastAsia="zh-CN"/>
        </w:rPr>
        <w:t xml:space="preserve">In this alternative, the RRC </w:t>
      </w:r>
      <w:r>
        <w:rPr>
          <w:rFonts w:eastAsiaTheme="minorEastAsia"/>
          <w:lang w:eastAsia="zh-CN"/>
        </w:rPr>
        <w:t xml:space="preserve">explicitly </w:t>
      </w:r>
      <w:r>
        <w:rPr>
          <w:rFonts w:hint="eastAsia" w:eastAsiaTheme="minorEastAsia"/>
          <w:lang w:eastAsia="zh-CN"/>
        </w:rPr>
        <w:t xml:space="preserve">configures the offsets </w:t>
      </w:r>
      <w:r>
        <w:rPr>
          <w:rFonts w:eastAsiaTheme="minorEastAsia"/>
          <w:lang w:eastAsia="zh-CN"/>
        </w:rPr>
        <w:t>of</w:t>
      </w:r>
      <w:r>
        <w:rPr>
          <w:rFonts w:hint="eastAsia" w:eastAsiaTheme="minorEastAsia"/>
          <w:lang w:eastAsia="zh-CN"/>
        </w:rPr>
        <w:t xml:space="preserve"> different SPS/CG configurations. For example, for CG configuration </w:t>
      </w:r>
      <w:r>
        <w:rPr>
          <w:rFonts w:hint="eastAsia" w:eastAsiaTheme="minorEastAsia"/>
          <w:i/>
          <w:lang w:eastAsia="zh-CN"/>
        </w:rPr>
        <w:t>i</w:t>
      </w:r>
      <w:r>
        <w:rPr>
          <w:rFonts w:hint="eastAsia" w:eastAsiaTheme="minorEastAsia"/>
          <w:lang w:eastAsia="zh-CN"/>
        </w:rPr>
        <w:t xml:space="preserve">, the HARQ process ID offset is </w:t>
      </w:r>
      <w:r>
        <w:rPr>
          <w:rFonts w:hint="eastAsia" w:eastAsiaTheme="minorEastAsia"/>
          <w:i/>
          <w:lang w:eastAsia="zh-CN"/>
        </w:rPr>
        <w:t>offset</w:t>
      </w:r>
      <w:r>
        <w:rPr>
          <w:rFonts w:hint="eastAsia" w:eastAsiaTheme="minorEastAsia"/>
          <w:i/>
          <w:vertAlign w:val="subscript"/>
          <w:lang w:eastAsia="zh-CN"/>
        </w:rPr>
        <w:t>i</w:t>
      </w:r>
      <w:r>
        <w:rPr>
          <w:rFonts w:hint="eastAsia" w:eastAsiaTheme="minorEastAsia"/>
          <w:lang w:eastAsia="zh-CN"/>
        </w:rPr>
        <w:t xml:space="preserve">. When HARQ process ID calculation is performed, </w:t>
      </w:r>
      <w:r>
        <w:rPr>
          <w:rFonts w:hint="eastAsia" w:eastAsiaTheme="minorEastAsia"/>
          <w:i/>
          <w:lang w:eastAsia="zh-CN"/>
        </w:rPr>
        <w:t>offset</w:t>
      </w:r>
      <w:r>
        <w:rPr>
          <w:rFonts w:hint="eastAsia" w:eastAsiaTheme="minorEastAsia"/>
          <w:i/>
          <w:vertAlign w:val="subscript"/>
          <w:lang w:eastAsia="zh-CN"/>
        </w:rPr>
        <w:t>i</w:t>
      </w:r>
      <w:r>
        <w:rPr>
          <w:rFonts w:hint="eastAsia" w:eastAsiaTheme="minorEastAsia"/>
          <w:lang w:eastAsia="zh-CN"/>
        </w:rPr>
        <w:t xml:space="preserve">  will be </w:t>
      </w:r>
      <w:r>
        <w:rPr>
          <w:rFonts w:eastAsiaTheme="minorEastAsia"/>
          <w:lang w:eastAsia="zh-CN"/>
        </w:rPr>
        <w:t xml:space="preserve">directly used in </w:t>
      </w:r>
      <w:r>
        <w:rPr>
          <w:rFonts w:hint="eastAsia" w:eastAsiaTheme="minorEastAsia"/>
          <w:lang w:eastAsia="zh-CN"/>
        </w:rPr>
        <w:t>the equation.</w:t>
      </w:r>
    </w:p>
    <w:p>
      <w:pPr>
        <w:pStyle w:val="3"/>
        <w:rPr>
          <w:rFonts w:eastAsiaTheme="minorEastAsia"/>
          <w:b/>
          <w:i/>
          <w:u w:val="single"/>
          <w:lang w:eastAsia="zh-CN"/>
        </w:rPr>
      </w:pPr>
      <w:r>
        <w:rPr>
          <w:rFonts w:hint="eastAsia" w:eastAsiaTheme="minorEastAsia"/>
          <w:b/>
          <w:i/>
          <w:u w:val="single"/>
          <w:lang w:eastAsia="zh-CN"/>
        </w:rPr>
        <w:t>Alternative 2: Offset is calculated based on the HARQ process number of each SPS/CG configuration.</w:t>
      </w:r>
    </w:p>
    <w:p>
      <w:pPr>
        <w:pStyle w:val="3"/>
        <w:rPr>
          <w:rFonts w:eastAsiaTheme="minorEastAsia"/>
          <w:lang w:eastAsia="zh-CN"/>
        </w:rPr>
      </w:pPr>
      <w:r>
        <w:rPr>
          <w:rFonts w:hint="eastAsia" w:eastAsiaTheme="minorEastAsia"/>
          <w:lang w:eastAsia="zh-CN"/>
        </w:rPr>
        <w:t xml:space="preserve">In alt 2, the offset is </w:t>
      </w:r>
      <w:r>
        <w:rPr>
          <w:rFonts w:eastAsiaTheme="minorEastAsia"/>
          <w:lang w:eastAsia="zh-CN"/>
        </w:rPr>
        <w:t xml:space="preserve">implicitly </w:t>
      </w:r>
      <w:r>
        <w:rPr>
          <w:rFonts w:hint="eastAsia" w:eastAsiaTheme="minorEastAsia"/>
          <w:lang w:eastAsia="zh-CN"/>
        </w:rPr>
        <w:t xml:space="preserve">calculated based on the SPS/CG configuration index and the HARQ process number of each SPS/CG configuration. The </w:t>
      </w:r>
      <w:r>
        <w:rPr>
          <w:rFonts w:hint="eastAsia" w:eastAsiaTheme="minorEastAsia"/>
          <w:i/>
          <w:lang w:eastAsia="zh-CN"/>
        </w:rPr>
        <w:t>offset</w:t>
      </w:r>
      <w:r>
        <w:rPr>
          <w:rFonts w:hint="eastAsia" w:eastAsiaTheme="minorEastAsia"/>
          <w:i/>
          <w:vertAlign w:val="subscript"/>
          <w:lang w:eastAsia="zh-CN"/>
        </w:rPr>
        <w:t>i</w:t>
      </w:r>
      <w:r>
        <w:rPr>
          <w:rFonts w:hint="eastAsia" w:eastAsiaTheme="minorEastAsia"/>
          <w:vertAlign w:val="subscript"/>
          <w:lang w:eastAsia="zh-CN"/>
        </w:rPr>
        <w:t xml:space="preserve"> </w:t>
      </w:r>
      <w:r>
        <w:rPr>
          <w:rFonts w:hint="eastAsia" w:eastAsiaTheme="minorEastAsia"/>
          <w:lang w:eastAsia="zh-CN"/>
        </w:rPr>
        <w:t xml:space="preserve">is </w:t>
      </w:r>
      <w:r>
        <w:rPr>
          <w:rFonts w:eastAsiaTheme="minorEastAsia"/>
          <w:lang w:eastAsia="zh-CN"/>
        </w:rPr>
        <w:t>calculated</w:t>
      </w:r>
      <w:r>
        <w:rPr>
          <w:rFonts w:hint="eastAsia" w:eastAsiaTheme="minorEastAsia"/>
          <w:lang w:eastAsia="zh-CN"/>
        </w:rPr>
        <w:t xml:space="preserve"> according to the </w:t>
      </w:r>
      <w:r>
        <w:rPr>
          <w:rFonts w:eastAsiaTheme="minorEastAsia"/>
          <w:lang w:eastAsia="zh-CN"/>
        </w:rPr>
        <w:t>equation</w:t>
      </w:r>
      <w:r>
        <w:rPr>
          <w:rFonts w:hint="eastAsia" w:eastAsiaTheme="minorEastAsia"/>
          <w:lang w:eastAsia="zh-CN"/>
        </w:rPr>
        <w:t xml:space="preserve"> below,</w:t>
      </w:r>
    </w:p>
    <w:p>
      <w:pPr>
        <w:pStyle w:val="3"/>
        <w:jc w:val="center"/>
        <w:rPr>
          <w:rFonts w:eastAsiaTheme="minorEastAsia"/>
          <w:lang w:eastAsia="zh-CN"/>
        </w:rPr>
      </w:pPr>
      <m:oMath>
        <m:d>
          <m:dPr>
            <m:begChr m:val="{"/>
            <m:endChr m:val=""/>
            <m:ctrlPr>
              <w:rPr>
                <w:rFonts w:ascii="Cambria Math" w:hAnsi="Cambria Math" w:eastAsiaTheme="minorEastAsia"/>
                <w:lang w:eastAsia="zh-CN"/>
              </w:rPr>
            </m:ctrlPr>
          </m:dPr>
          <m:e>
            <m:eqArr>
              <m:eqArrPr>
                <m:ctrlPr>
                  <w:rPr>
                    <w:rFonts w:ascii="Cambria Math" w:hAnsi="Cambria Math" w:eastAsiaTheme="minorEastAsia"/>
                    <w:lang w:eastAsia="zh-CN"/>
                  </w:rPr>
                </m:ctrlPr>
              </m:eqArrPr>
              <m:e>
                <m:sSub>
                  <m:sSubPr>
                    <m:ctrlPr>
                      <w:rPr>
                        <w:rFonts w:ascii="Cambria Math" w:hAnsi="Cambria Math" w:eastAsiaTheme="minorEastAsia"/>
                        <w:i/>
                        <w:lang w:eastAsia="zh-CN"/>
                      </w:rPr>
                    </m:ctrlPr>
                  </m:sSubPr>
                  <m:e>
                    <m:r>
                      <w:rPr>
                        <w:rFonts w:ascii="Cambria Math" w:hAnsi="Cambria Math" w:eastAsiaTheme="minorEastAsia"/>
                        <w:lang w:eastAsia="zh-CN"/>
                      </w:rPr>
                      <m:t>offset</m:t>
                    </m:r>
                    <m:ctrlPr>
                      <w:rPr>
                        <w:rFonts w:ascii="Cambria Math" w:hAnsi="Cambria Math" w:eastAsiaTheme="minorEastAsia"/>
                        <w:i/>
                        <w:lang w:eastAsia="zh-CN"/>
                      </w:rPr>
                    </m:ctrlPr>
                  </m:e>
                  <m:sub>
                    <m:r>
                      <w:rPr>
                        <w:rFonts w:ascii="Cambria Math" w:hAnsi="Cambria Math" w:eastAsiaTheme="minorEastAsia"/>
                        <w:lang w:eastAsia="zh-CN"/>
                      </w:rPr>
                      <m:t>0</m:t>
                    </m:r>
                    <m:ctrlPr>
                      <w:rPr>
                        <w:rFonts w:ascii="Cambria Math" w:hAnsi="Cambria Math" w:eastAsiaTheme="minorEastAsia"/>
                        <w:i/>
                        <w:lang w:eastAsia="zh-CN"/>
                      </w:rPr>
                    </m:ctrlPr>
                  </m:sub>
                </m:sSub>
                <m:r>
                  <w:rPr>
                    <w:rFonts w:ascii="Cambria Math" w:hAnsi="Cambria Math" w:eastAsiaTheme="minorEastAsia"/>
                    <w:lang w:eastAsia="zh-CN"/>
                  </w:rPr>
                  <m:t>=0,                              i=0</m:t>
                </m:r>
                <m:ctrlPr>
                  <w:rPr>
                    <w:rFonts w:ascii="Cambria Math" w:hAnsi="Cambria Math" w:eastAsiaTheme="minorEastAsia"/>
                    <w:lang w:eastAsia="zh-CN"/>
                  </w:rPr>
                </m:ctrlPr>
              </m:e>
              <m:e>
                <m:sSub>
                  <m:sSubPr>
                    <m:ctrlPr>
                      <w:rPr>
                        <w:rFonts w:ascii="Cambria Math" w:hAnsi="Cambria Math" w:eastAsiaTheme="minorEastAsia"/>
                        <w:i/>
                        <w:lang w:eastAsia="zh-CN"/>
                      </w:rPr>
                    </m:ctrlPr>
                  </m:sSubPr>
                  <m:e>
                    <m:r>
                      <w:rPr>
                        <w:rFonts w:ascii="Cambria Math" w:hAnsi="Cambria Math" w:eastAsiaTheme="minorEastAsia"/>
                        <w:lang w:eastAsia="zh-CN"/>
                      </w:rPr>
                      <m:t>offset</m:t>
                    </m:r>
                    <m:ctrlPr>
                      <w:rPr>
                        <w:rFonts w:ascii="Cambria Math" w:hAnsi="Cambria Math" w:eastAsiaTheme="minorEastAsia"/>
                        <w:i/>
                        <w:lang w:eastAsia="zh-CN"/>
                      </w:rPr>
                    </m:ctrlPr>
                  </m:e>
                  <m:sub>
                    <m:r>
                      <w:rPr>
                        <w:rFonts w:ascii="Cambria Math" w:hAnsi="Cambria Math" w:eastAsiaTheme="minorEastAsia"/>
                        <w:lang w:eastAsia="zh-CN"/>
                      </w:rPr>
                      <m:t>i</m:t>
                    </m:r>
                    <m:ctrlPr>
                      <w:rPr>
                        <w:rFonts w:ascii="Cambria Math" w:hAnsi="Cambria Math" w:eastAsiaTheme="minorEastAsia"/>
                        <w:i/>
                        <w:lang w:eastAsia="zh-CN"/>
                      </w:rPr>
                    </m:ctrlPr>
                  </m:sub>
                </m:sSub>
                <m:r>
                  <w:rPr>
                    <w:rFonts w:ascii="Cambria Math" w:hAnsi="Cambria Math" w:eastAsiaTheme="minorEastAsia"/>
                    <w:lang w:eastAsia="zh-CN"/>
                  </w:rPr>
                  <m:t>=</m:t>
                </m:r>
                <m:nary>
                  <m:naryPr>
                    <m:chr m:val="∑"/>
                    <m:limLoc m:val="subSup"/>
                    <m:ctrlPr>
                      <w:rPr>
                        <w:rFonts w:ascii="Cambria Math" w:hAnsi="Cambria Math" w:eastAsiaTheme="minorEastAsia"/>
                        <w:i/>
                        <w:lang w:eastAsia="zh-CN"/>
                      </w:rPr>
                    </m:ctrlPr>
                  </m:naryPr>
                  <m:sub>
                    <m:r>
                      <w:rPr>
                        <w:rFonts w:ascii="Cambria Math" w:hAnsi="Cambria Math" w:eastAsiaTheme="minorEastAsia"/>
                        <w:lang w:eastAsia="zh-CN"/>
                      </w:rPr>
                      <m:t>j=0</m:t>
                    </m:r>
                    <m:ctrlPr>
                      <w:rPr>
                        <w:rFonts w:ascii="Cambria Math" w:hAnsi="Cambria Math" w:eastAsiaTheme="minorEastAsia"/>
                        <w:i/>
                        <w:lang w:eastAsia="zh-CN"/>
                      </w:rPr>
                    </m:ctrlPr>
                  </m:sub>
                  <m:sup>
                    <m:r>
                      <w:rPr>
                        <w:rFonts w:ascii="Cambria Math" w:hAnsi="Cambria Math" w:eastAsiaTheme="minorEastAsia"/>
                        <w:lang w:eastAsia="zh-CN"/>
                      </w:rPr>
                      <m:t>i-1</m:t>
                    </m:r>
                    <m:ctrlPr>
                      <w:rPr>
                        <w:rFonts w:ascii="Cambria Math" w:hAnsi="Cambria Math" w:eastAsiaTheme="minorEastAsia"/>
                        <w:i/>
                        <w:lang w:eastAsia="zh-CN"/>
                      </w:rPr>
                    </m:ctrlPr>
                  </m:sup>
                  <m:e>
                    <m:sSub>
                      <m:sSubPr>
                        <m:ctrlPr>
                          <w:rPr>
                            <w:rFonts w:ascii="Cambria Math" w:hAnsi="Cambria Math" w:eastAsiaTheme="minorEastAsia"/>
                            <w:i/>
                            <w:lang w:eastAsia="zh-CN"/>
                          </w:rPr>
                        </m:ctrlPr>
                      </m:sSubPr>
                      <m:e>
                        <m:r>
                          <w:rPr>
                            <w:rFonts w:ascii="Cambria Math" w:hAnsi="Cambria Math" w:eastAsiaTheme="minorEastAsia"/>
                            <w:lang w:eastAsia="zh-CN"/>
                          </w:rPr>
                          <m:t>HarqNum</m:t>
                        </m:r>
                        <m:ctrlPr>
                          <w:rPr>
                            <w:rFonts w:ascii="Cambria Math" w:hAnsi="Cambria Math" w:eastAsiaTheme="minorEastAsia"/>
                            <w:i/>
                            <w:lang w:eastAsia="zh-CN"/>
                          </w:rPr>
                        </m:ctrlPr>
                      </m:e>
                      <m:sub>
                        <m:r>
                          <w:rPr>
                            <w:rFonts w:ascii="Cambria Math" w:hAnsi="Cambria Math" w:eastAsiaTheme="minorEastAsia"/>
                            <w:lang w:eastAsia="zh-CN"/>
                          </w:rPr>
                          <m:t>j</m:t>
                        </m:r>
                        <m:ctrlPr>
                          <w:rPr>
                            <w:rFonts w:ascii="Cambria Math" w:hAnsi="Cambria Math" w:eastAsiaTheme="minorEastAsia"/>
                            <w:i/>
                            <w:lang w:eastAsia="zh-CN"/>
                          </w:rPr>
                        </m:ctrlPr>
                      </m:sub>
                    </m:sSub>
                    <m:r>
                      <w:rPr>
                        <w:rFonts w:ascii="Cambria Math" w:hAnsi="Cambria Math" w:eastAsiaTheme="minorEastAsia"/>
                        <w:lang w:eastAsia="zh-CN"/>
                      </w:rPr>
                      <m:t>, i&gt;0</m:t>
                    </m:r>
                    <m:ctrlPr>
                      <w:rPr>
                        <w:rFonts w:ascii="Cambria Math" w:hAnsi="Cambria Math" w:eastAsiaTheme="minorEastAsia"/>
                        <w:i/>
                        <w:lang w:eastAsia="zh-CN"/>
                      </w:rPr>
                    </m:ctrlPr>
                  </m:e>
                </m:nary>
                <m:ctrlPr>
                  <w:rPr>
                    <w:rFonts w:ascii="Cambria Math" w:hAnsi="Cambria Math" w:eastAsiaTheme="minorEastAsia"/>
                    <w:lang w:eastAsia="zh-CN"/>
                  </w:rPr>
                </m:ctrlPr>
              </m:e>
            </m:eqArr>
            <m:ctrlPr>
              <w:rPr>
                <w:rFonts w:ascii="Cambria Math" w:hAnsi="Cambria Math" w:eastAsiaTheme="minorEastAsia"/>
                <w:lang w:eastAsia="zh-CN"/>
              </w:rPr>
            </m:ctrlPr>
          </m:e>
        </m:d>
      </m:oMath>
      <w:r>
        <w:rPr>
          <w:rFonts w:hint="eastAsia" w:eastAsiaTheme="minorEastAsia"/>
          <w:lang w:eastAsia="zh-CN"/>
        </w:rPr>
        <w:tab/>
      </w:r>
      <w:r>
        <w:rPr>
          <w:rFonts w:hint="eastAsia" w:eastAsiaTheme="minorEastAsia"/>
          <w:lang w:eastAsia="zh-CN"/>
        </w:rPr>
        <w:t>(1)</w:t>
      </w:r>
    </w:p>
    <w:p>
      <w:pPr>
        <w:pStyle w:val="3"/>
        <w:rPr>
          <w:rFonts w:eastAsiaTheme="minorEastAsia"/>
          <w:lang w:eastAsia="zh-CN"/>
        </w:rPr>
      </w:pPr>
      <w:r>
        <w:rPr>
          <w:rFonts w:eastAsiaTheme="minorEastAsia"/>
          <w:lang w:eastAsia="zh-CN"/>
        </w:rPr>
        <w:t>w</w:t>
      </w:r>
      <w:r>
        <w:rPr>
          <w:rFonts w:hint="eastAsia" w:eastAsiaTheme="minorEastAsia"/>
          <w:lang w:eastAsia="zh-CN"/>
        </w:rPr>
        <w:t xml:space="preserve">here, </w:t>
      </w:r>
      <w:r>
        <w:rPr>
          <w:rFonts w:hint="eastAsia" w:eastAsiaTheme="minorEastAsia"/>
          <w:i/>
          <w:lang w:eastAsia="zh-CN"/>
        </w:rPr>
        <w:t>HarqNum</w:t>
      </w:r>
      <w:r>
        <w:rPr>
          <w:rFonts w:hint="eastAsia" w:eastAsiaTheme="minorEastAsia"/>
          <w:lang w:eastAsia="zh-CN"/>
        </w:rPr>
        <w:t xml:space="preserve"> is the HARQ process number of each SPS/CG configuration, and </w:t>
      </w:r>
      <w:r>
        <w:rPr>
          <w:rFonts w:eastAsiaTheme="minorEastAsia"/>
          <w:i/>
          <w:lang w:eastAsia="zh-CN"/>
        </w:rPr>
        <w:t>i</w:t>
      </w:r>
      <w:r>
        <w:rPr>
          <w:rFonts w:eastAsiaTheme="minorEastAsia"/>
          <w:lang w:eastAsia="zh-CN"/>
        </w:rPr>
        <w:t xml:space="preserve"> is the configuration index which is define</w:t>
      </w:r>
      <w:r>
        <w:rPr>
          <w:rFonts w:hint="eastAsia" w:eastAsiaTheme="minorEastAsia"/>
          <w:lang w:eastAsia="zh-CN"/>
        </w:rPr>
        <w:t>d</w:t>
      </w:r>
      <w:r>
        <w:rPr>
          <w:rFonts w:eastAsiaTheme="minorEastAsia"/>
          <w:lang w:eastAsia="zh-CN"/>
        </w:rPr>
        <w:t xml:space="preserve"> in section 2.1.</w:t>
      </w:r>
      <w:r>
        <w:rPr>
          <w:rFonts w:hint="eastAsia" w:eastAsiaTheme="minorEastAsia"/>
          <w:lang w:eastAsia="zh-CN"/>
        </w:rPr>
        <w:t xml:space="preserve"> Based on Equation (1), the HARQ process ID will be grouped in term of SPS/CG configuration without HARQ ID collision. The entire procedure is illustrated in Figure 3.</w:t>
      </w:r>
    </w:p>
    <w:p>
      <w:pPr>
        <w:pStyle w:val="3"/>
        <w:jc w:val="center"/>
        <w:rPr>
          <w:rFonts w:eastAsiaTheme="minorEastAsia"/>
          <w:lang w:eastAsia="zh-CN"/>
        </w:rPr>
      </w:pPr>
      <w:r>
        <w:object>
          <v:shape id="_x0000_i1027" o:spt="75" type="#_x0000_t75" style="height:80.05pt;width:322.55pt;" o:ole="t" filled="f" o:preferrelative="t" stroked="f" coordsize="21600,21600">
            <v:path/>
            <v:fill on="f" focussize="0,0"/>
            <v:stroke on="f" joinstyle="miter"/>
            <v:imagedata r:id="rId12" o:title=""/>
            <o:lock v:ext="edit" aspectratio="t"/>
            <w10:wrap type="none"/>
            <w10:anchorlock/>
          </v:shape>
          <o:OLEObject Type="Embed" ProgID="Visio.Drawing.11" ShapeID="_x0000_i1027" DrawAspect="Content" ObjectID="_1468075727" r:id="rId11">
            <o:LockedField>false</o:LockedField>
          </o:OLEObject>
        </w:object>
      </w:r>
    </w:p>
    <w:p>
      <w:pPr>
        <w:pStyle w:val="3"/>
        <w:jc w:val="center"/>
        <w:rPr>
          <w:rFonts w:eastAsiaTheme="minorEastAsia"/>
          <w:b/>
          <w:lang w:eastAsia="zh-CN"/>
        </w:rPr>
      </w:pPr>
      <w:r>
        <w:rPr>
          <w:rFonts w:hint="eastAsia" w:eastAsiaTheme="minorEastAsia"/>
          <w:b/>
          <w:lang w:eastAsia="zh-CN"/>
        </w:rPr>
        <w:t>Figure 3: One example for HARQ process ID calculated based on HARQ Process Number</w:t>
      </w:r>
    </w:p>
    <w:p>
      <w:pPr>
        <w:pStyle w:val="3"/>
        <w:rPr>
          <w:rFonts w:eastAsiaTheme="minorEastAsia"/>
          <w:lang w:eastAsia="zh-CN"/>
        </w:rPr>
      </w:pPr>
      <w:r>
        <w:rPr>
          <w:rFonts w:hint="eastAsia" w:eastAsiaTheme="minorEastAsia"/>
          <w:lang w:eastAsia="zh-CN"/>
        </w:rPr>
        <w:t xml:space="preserve">Compared with alternative 1, one improvement is that there is no need for RRC configuration on the </w:t>
      </w:r>
      <w:r>
        <w:rPr>
          <w:rFonts w:eastAsiaTheme="minorEastAsia"/>
          <w:lang w:eastAsia="zh-CN"/>
        </w:rPr>
        <w:t>par</w:t>
      </w:r>
      <w:r>
        <w:rPr>
          <w:rFonts w:hint="eastAsia" w:eastAsiaTheme="minorEastAsia"/>
          <w:lang w:eastAsia="zh-CN"/>
        </w:rPr>
        <w:t xml:space="preserve">ameter </w:t>
      </w:r>
      <w:r>
        <w:rPr>
          <w:rFonts w:hint="eastAsia" w:eastAsiaTheme="minorEastAsia"/>
          <w:i/>
          <w:lang w:eastAsia="zh-CN"/>
        </w:rPr>
        <w:t>offset</w:t>
      </w:r>
      <w:r>
        <w:rPr>
          <w:rFonts w:hint="eastAsia" w:eastAsiaTheme="minorEastAsia"/>
          <w:lang w:eastAsia="zh-CN"/>
        </w:rPr>
        <w:t xml:space="preserve">. Furthermore, if the index of the SPS/CG </w:t>
      </w:r>
      <w:r>
        <w:rPr>
          <w:rFonts w:eastAsiaTheme="minorEastAsia"/>
          <w:lang w:eastAsia="zh-CN"/>
        </w:rPr>
        <w:t>configuration</w:t>
      </w:r>
      <w:r>
        <w:rPr>
          <w:rFonts w:hint="eastAsia" w:eastAsiaTheme="minorEastAsia"/>
          <w:lang w:eastAsia="zh-CN"/>
        </w:rPr>
        <w:t xml:space="preserve"> changes, it is not necessary to reconfigure the offset value.</w:t>
      </w:r>
    </w:p>
    <w:p>
      <w:pPr>
        <w:pStyle w:val="14"/>
        <w:rPr>
          <w:rFonts w:eastAsiaTheme="minorEastAsia"/>
          <w:b/>
          <w:lang w:eastAsia="zh-CN"/>
        </w:rPr>
      </w:pPr>
      <w:bookmarkStart w:id="17" w:name="_Toc7514898"/>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rFonts w:hint="eastAsia" w:eastAsiaTheme="minorEastAsia"/>
          <w:b/>
          <w:lang w:eastAsia="zh-CN"/>
        </w:rPr>
        <w:t xml:space="preserve">: RAN2 to down select one alternative for the offset </w:t>
      </w:r>
      <w:r>
        <w:rPr>
          <w:rFonts w:eastAsiaTheme="minorEastAsia"/>
          <w:b/>
          <w:lang w:eastAsia="zh-CN"/>
        </w:rPr>
        <w:t xml:space="preserve">determination </w:t>
      </w:r>
      <w:r>
        <w:rPr>
          <w:rFonts w:hint="eastAsia" w:eastAsiaTheme="minorEastAsia"/>
          <w:b/>
          <w:lang w:eastAsia="zh-CN"/>
        </w:rPr>
        <w:t>in HARQ process ID calculation.</w:t>
      </w:r>
      <w:bookmarkEnd w:id="17"/>
    </w:p>
    <w:p>
      <w:pPr>
        <w:pStyle w:val="4"/>
        <w:ind w:left="562" w:hanging="562"/>
        <w:jc w:val="both"/>
        <w:rPr>
          <w:rFonts w:eastAsiaTheme="minorEastAsia"/>
        </w:rPr>
      </w:pPr>
      <w:r>
        <w:rPr>
          <w:rFonts w:hint="eastAsia" w:eastAsiaTheme="minorEastAsia"/>
        </w:rPr>
        <w:t>CG confirmation MAC CE</w:t>
      </w:r>
    </w:p>
    <w:p>
      <w:pPr>
        <w:jc w:val="both"/>
        <w:rPr>
          <w:rFonts w:eastAsiaTheme="minorEastAsia"/>
          <w:lang w:eastAsia="zh-CN"/>
        </w:rPr>
      </w:pPr>
      <w:r>
        <w:rPr>
          <w:rFonts w:hint="eastAsia" w:eastAsiaTheme="minorEastAsia"/>
          <w:lang w:eastAsia="zh-CN"/>
        </w:rPr>
        <w:t xml:space="preserve">In Rel-15 NR Uu interface, </w:t>
      </w:r>
      <w:r>
        <w:rPr>
          <w:lang w:eastAsia="ko-KR"/>
        </w:rPr>
        <w:t xml:space="preserve">Type 1 and Type 2 </w:t>
      </w:r>
      <w:r>
        <w:rPr>
          <w:rFonts w:hint="eastAsia" w:eastAsiaTheme="minorEastAsia"/>
          <w:lang w:eastAsia="zh-CN"/>
        </w:rPr>
        <w:t>CG</w:t>
      </w:r>
      <w:r>
        <w:rPr>
          <w:rFonts w:eastAsiaTheme="minorEastAsia"/>
          <w:lang w:eastAsia="zh-CN"/>
        </w:rPr>
        <w:t>s</w:t>
      </w:r>
      <w:r>
        <w:rPr>
          <w:rFonts w:hint="eastAsia" w:eastAsiaTheme="minorEastAsia"/>
          <w:lang w:eastAsia="zh-CN"/>
        </w:rPr>
        <w:t xml:space="preserve"> </w:t>
      </w:r>
      <w:r>
        <w:rPr>
          <w:lang w:eastAsia="ko-KR"/>
        </w:rPr>
        <w:t>are configured by RRC per Serving Cell and per BWP.</w:t>
      </w:r>
      <w:r>
        <w:rPr>
          <w:rFonts w:hint="eastAsia" w:eastAsiaTheme="minorEastAsia"/>
          <w:lang w:eastAsia="zh-CN"/>
        </w:rPr>
        <w:t xml:space="preserve"> </w:t>
      </w:r>
      <w:r>
        <w:rPr>
          <w:lang w:eastAsia="ko-KR"/>
        </w:rPr>
        <w:t>Multiple</w:t>
      </w:r>
      <w:r>
        <w:rPr>
          <w:rFonts w:hint="eastAsia" w:eastAsiaTheme="minorEastAsia"/>
          <w:lang w:eastAsia="zh-CN"/>
        </w:rPr>
        <w:t xml:space="preserve"> CGs</w:t>
      </w:r>
      <w:r>
        <w:rPr>
          <w:lang w:eastAsia="ko-KR"/>
        </w:rPr>
        <w:t xml:space="preserve"> can be active simultaneously only on different Serving Cells. </w:t>
      </w:r>
      <w:r>
        <w:rPr>
          <w:rFonts w:hint="eastAsia" w:eastAsiaTheme="minorEastAsia"/>
          <w:lang w:eastAsia="zh-CN"/>
        </w:rPr>
        <w:t>It means there is at most one type 2 CG on one BWP. The CG confirmation MAC CE can be sent on the corresponding BWP, hence zero-bit payload CG confirmation MAC CE is used in Rel-15, which is shown in the following Figure-3:</w:t>
      </w:r>
    </w:p>
    <w:p>
      <w:pPr>
        <w:pStyle w:val="3"/>
        <w:ind w:left="2800" w:leftChars="1400"/>
        <w:rPr>
          <w:rFonts w:eastAsiaTheme="minorEastAsia"/>
          <w:lang w:eastAsia="zh-CN"/>
        </w:rPr>
      </w:pPr>
    </w:p>
    <w:p>
      <w:pPr>
        <w:pStyle w:val="3"/>
        <w:ind w:firstLine="2000" w:firstLineChars="1000"/>
        <w:rPr>
          <w:rFonts w:eastAsiaTheme="minorEastAsia"/>
          <w:lang w:eastAsia="zh-CN"/>
        </w:rPr>
      </w:pPr>
      <w:r>
        <w:object>
          <v:shape id="_x0000_i1028" o:spt="75" type="#_x0000_t75" style="height:29.4pt;width:185.45pt;" o:ole="t" filled="f" o:preferrelative="t" stroked="f" coordsize="21600,21600">
            <v:path/>
            <v:fill on="f" focussize="0,0"/>
            <v:stroke on="f" joinstyle="miter"/>
            <v:imagedata r:id="rId14" o:title=""/>
            <o:lock v:ext="edit" aspectratio="t"/>
            <w10:wrap type="none"/>
            <w10:anchorlock/>
          </v:shape>
          <o:OLEObject Type="Embed" ProgID="Visio.Drawing.15" ShapeID="_x0000_i1028" DrawAspect="Content" ObjectID="_1468075728" r:id="rId13">
            <o:LockedField>false</o:LockedField>
          </o:OLEObject>
        </w:object>
      </w:r>
    </w:p>
    <w:p>
      <w:pPr>
        <w:pStyle w:val="3"/>
        <w:ind w:firstLine="2000" w:firstLineChars="1000"/>
        <w:rPr>
          <w:rFonts w:eastAsiaTheme="minorEastAsia"/>
          <w:lang w:eastAsia="zh-CN"/>
        </w:rPr>
      </w:pPr>
      <w:r>
        <w:rPr>
          <w:rFonts w:hint="eastAsia" w:eastAsiaTheme="minorEastAsia"/>
          <w:lang w:eastAsia="zh-CN"/>
        </w:rPr>
        <w:t>CG confirmation MAC CE subheader</w:t>
      </w:r>
    </w:p>
    <w:p>
      <w:pPr>
        <w:pStyle w:val="3"/>
        <w:ind w:firstLine="1205" w:firstLineChars="600"/>
        <w:rPr>
          <w:rFonts w:eastAsiaTheme="minorEastAsia"/>
          <w:lang w:eastAsia="zh-CN"/>
        </w:rPr>
      </w:pPr>
      <w:r>
        <w:rPr>
          <w:b/>
        </w:rPr>
        <w:t xml:space="preserve">Figure </w:t>
      </w:r>
      <w:r>
        <w:rPr>
          <w:b/>
        </w:rPr>
        <w:fldChar w:fldCharType="begin"/>
      </w:r>
      <w:r>
        <w:rPr>
          <w:b/>
        </w:rPr>
        <w:instrText xml:space="preserve"> SEQ Figure \* ARABIC </w:instrText>
      </w:r>
      <w:r>
        <w:rPr>
          <w:b/>
        </w:rPr>
        <w:fldChar w:fldCharType="separate"/>
      </w:r>
      <w:r>
        <w:rPr>
          <w:b/>
        </w:rPr>
        <w:t>3</w:t>
      </w:r>
      <w:r>
        <w:rPr>
          <w:b/>
        </w:rPr>
        <w:fldChar w:fldCharType="end"/>
      </w:r>
      <w:r>
        <w:rPr>
          <w:b/>
        </w:rPr>
        <w:t>:</w:t>
      </w:r>
      <w:r>
        <w:rPr>
          <w:rFonts w:hint="eastAsia"/>
          <w:b/>
          <w:lang w:eastAsia="zh-CN"/>
        </w:rPr>
        <w:t xml:space="preserve"> Rel-15 zero-bit payload CG confirmation MAC CE</w:t>
      </w:r>
    </w:p>
    <w:p>
      <w:pPr>
        <w:rPr>
          <w:rFonts w:eastAsiaTheme="minorEastAsia"/>
          <w:lang w:val="en-GB" w:eastAsia="zh-CN"/>
        </w:rPr>
      </w:pPr>
    </w:p>
    <w:p>
      <w:pPr>
        <w:pStyle w:val="3"/>
        <w:rPr>
          <w:rFonts w:eastAsiaTheme="minorEastAsia"/>
          <w:lang w:eastAsia="zh-CN"/>
        </w:rPr>
      </w:pPr>
      <w:r>
        <w:rPr>
          <w:rFonts w:hint="eastAsia" w:eastAsiaTheme="minorEastAsia"/>
          <w:lang w:eastAsia="zh-CN"/>
        </w:rPr>
        <w:t xml:space="preserve">For Rel-16 IIOT, multiple active CGs are supported in one BWP, and their corresponding CG resources may be overlapped in time domain. </w:t>
      </w:r>
      <w:r>
        <w:rPr>
          <w:rFonts w:eastAsiaTheme="minorEastAsia"/>
          <w:lang w:eastAsia="zh-CN"/>
        </w:rPr>
        <w:t xml:space="preserve">It is proposed in </w:t>
      </w:r>
      <w:r>
        <w:rPr>
          <w:rFonts w:eastAsiaTheme="minorEastAsia"/>
          <w:lang w:eastAsia="zh-CN"/>
        </w:rPr>
        <w:fldChar w:fldCharType="begin"/>
      </w:r>
      <w:r>
        <w:rPr>
          <w:rFonts w:eastAsiaTheme="minorEastAsia"/>
          <w:lang w:eastAsia="zh-CN"/>
        </w:rPr>
        <w:instrText xml:space="preserve"> REF _Ref7192097 \n \h </w:instrText>
      </w:r>
      <w:r>
        <w:rPr>
          <w:rFonts w:eastAsiaTheme="minorEastAsia"/>
          <w:lang w:eastAsia="zh-CN"/>
        </w:rPr>
        <w:fldChar w:fldCharType="separate"/>
      </w:r>
      <w:r>
        <w:rPr>
          <w:rFonts w:eastAsiaTheme="minorEastAsia"/>
          <w:lang w:eastAsia="zh-CN"/>
        </w:rPr>
        <w:fldChar w:fldCharType="begin"/>
      </w:r>
      <w:r>
        <w:rPr>
          <w:rFonts w:eastAsiaTheme="minorEastAsia"/>
          <w:lang w:eastAsia="zh-CN"/>
        </w:rPr>
        <w:instrText xml:space="preserve"> REF _Ref7632549 \r \h </w:instrText>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fldChar w:fldCharType="end"/>
      </w:r>
      <w:r>
        <w:rPr>
          <w:rFonts w:eastAsiaTheme="minorEastAsia"/>
          <w:lang w:eastAsia="zh-CN"/>
        </w:rPr>
        <w:t xml:space="preserve"> to address this by keeping the legacy zero-bit payload CG confirmation MAC CE, but restricting its transmission to only occur in a PUSCH resource associated to the CG the confirmation relates to. However, this approach has </w:t>
      </w:r>
      <w:r>
        <w:rPr>
          <w:rFonts w:hint="eastAsia" w:eastAsiaTheme="minorEastAsia"/>
          <w:lang w:eastAsia="zh-CN"/>
        </w:rPr>
        <w:t>some drawbacks, listed below:</w:t>
      </w:r>
    </w:p>
    <w:p>
      <w:pPr>
        <w:pStyle w:val="3"/>
        <w:numPr>
          <w:ilvl w:val="0"/>
          <w:numId w:val="10"/>
        </w:numPr>
        <w:spacing w:after="0"/>
        <w:ind w:hangingChars="210"/>
        <w:rPr>
          <w:rFonts w:eastAsiaTheme="minorEastAsia"/>
          <w:lang w:eastAsia="zh-CN"/>
        </w:rPr>
      </w:pPr>
      <w:r>
        <w:rPr>
          <w:rFonts w:hint="eastAsia" w:eastAsiaTheme="minorEastAsia"/>
          <w:lang w:eastAsia="zh-CN"/>
        </w:rPr>
        <w:t>On one BWP, in</w:t>
      </w:r>
      <w:r>
        <w:rPr>
          <w:rFonts w:eastAsiaTheme="minorEastAsia"/>
          <w:lang w:eastAsia="zh-CN"/>
        </w:rPr>
        <w:t xml:space="preserve"> case of </w:t>
      </w:r>
      <w:r>
        <w:rPr>
          <w:rFonts w:hint="eastAsia" w:eastAsiaTheme="minorEastAsia"/>
          <w:lang w:eastAsia="zh-CN"/>
        </w:rPr>
        <w:t xml:space="preserve">the CG used for transmitting the CG confirmation MAC </w:t>
      </w:r>
      <w:r>
        <w:rPr>
          <w:rFonts w:eastAsiaTheme="minorEastAsia"/>
          <w:lang w:eastAsia="zh-CN"/>
        </w:rPr>
        <w:t>CE collides</w:t>
      </w:r>
      <w:r>
        <w:rPr>
          <w:rFonts w:hint="eastAsia" w:eastAsiaTheme="minorEastAsia"/>
          <w:lang w:eastAsia="zh-CN"/>
        </w:rPr>
        <w:t xml:space="preserve"> with </w:t>
      </w:r>
      <w:r>
        <w:rPr>
          <w:rFonts w:eastAsiaTheme="minorEastAsia"/>
          <w:lang w:eastAsia="zh-CN"/>
        </w:rPr>
        <w:t xml:space="preserve">a dynamic grant and the dynamic grant is prioritized, </w:t>
      </w:r>
      <w:r>
        <w:rPr>
          <w:rFonts w:hint="eastAsia" w:eastAsiaTheme="minorEastAsia"/>
          <w:lang w:eastAsia="zh-CN"/>
        </w:rPr>
        <w:t xml:space="preserve">UE </w:t>
      </w:r>
      <w:r>
        <w:rPr>
          <w:rFonts w:eastAsiaTheme="minorEastAsia"/>
          <w:lang w:eastAsia="zh-CN"/>
        </w:rPr>
        <w:t xml:space="preserve">cannot send the </w:t>
      </w:r>
      <w:r>
        <w:rPr>
          <w:rFonts w:hint="eastAsia" w:eastAsiaTheme="minorEastAsia"/>
          <w:lang w:eastAsia="zh-CN"/>
        </w:rPr>
        <w:t xml:space="preserve">CG </w:t>
      </w:r>
      <w:r>
        <w:rPr>
          <w:rFonts w:eastAsiaTheme="minorEastAsia"/>
          <w:lang w:eastAsia="zh-CN"/>
        </w:rPr>
        <w:t>confirmation MAC CE</w:t>
      </w:r>
      <w:r>
        <w:rPr>
          <w:rFonts w:hint="eastAsia" w:eastAsiaTheme="minorEastAsia"/>
          <w:lang w:eastAsia="zh-CN"/>
        </w:rPr>
        <w:t>. It will delay the CG confirmation.</w:t>
      </w:r>
    </w:p>
    <w:p>
      <w:pPr>
        <w:pStyle w:val="3"/>
        <w:numPr>
          <w:ilvl w:val="0"/>
          <w:numId w:val="10"/>
        </w:numPr>
        <w:spacing w:after="0"/>
        <w:ind w:hangingChars="210"/>
        <w:rPr>
          <w:rFonts w:eastAsiaTheme="minorEastAsia"/>
          <w:lang w:eastAsia="zh-CN"/>
        </w:rPr>
      </w:pPr>
      <w:r>
        <w:rPr>
          <w:rFonts w:hint="eastAsia" w:eastAsiaTheme="minorEastAsia"/>
          <w:lang w:eastAsia="zh-CN"/>
        </w:rPr>
        <w:t>On one BWP, i</w:t>
      </w:r>
      <w:r>
        <w:rPr>
          <w:rFonts w:eastAsiaTheme="minorEastAsia"/>
          <w:lang w:eastAsia="zh-CN"/>
        </w:rPr>
        <w:t xml:space="preserve">n case of </w:t>
      </w:r>
      <w:r>
        <w:rPr>
          <w:rFonts w:hint="eastAsia" w:eastAsiaTheme="minorEastAsia"/>
          <w:lang w:eastAsia="zh-CN"/>
        </w:rPr>
        <w:t>the CG collides with another CG, and they are both used for transmitting the</w:t>
      </w:r>
      <w:r>
        <w:rPr>
          <w:rFonts w:eastAsiaTheme="minorEastAsia"/>
          <w:lang w:eastAsia="zh-CN"/>
        </w:rPr>
        <w:t>ir</w:t>
      </w:r>
      <w:r>
        <w:rPr>
          <w:rFonts w:hint="eastAsia" w:eastAsiaTheme="minorEastAsia"/>
          <w:lang w:eastAsia="zh-CN"/>
        </w:rPr>
        <w:t xml:space="preserve"> </w:t>
      </w:r>
      <w:r>
        <w:rPr>
          <w:rFonts w:eastAsiaTheme="minorEastAsia"/>
          <w:lang w:eastAsia="zh-CN"/>
        </w:rPr>
        <w:t xml:space="preserve">own </w:t>
      </w:r>
      <w:r>
        <w:rPr>
          <w:rFonts w:hint="eastAsia" w:eastAsiaTheme="minorEastAsia"/>
          <w:lang w:eastAsia="zh-CN"/>
        </w:rPr>
        <w:t>CG confirmation MAC CE, UE can only send one of them and the other will be delayed.</w:t>
      </w:r>
    </w:p>
    <w:p>
      <w:pPr>
        <w:pStyle w:val="3"/>
        <w:numPr>
          <w:ilvl w:val="0"/>
          <w:numId w:val="10"/>
        </w:numPr>
        <w:spacing w:afterLines="50"/>
        <w:ind w:hangingChars="210"/>
        <w:rPr>
          <w:rFonts w:eastAsiaTheme="minorEastAsia"/>
          <w:lang w:eastAsia="zh-CN"/>
        </w:rPr>
      </w:pPr>
      <w:r>
        <w:rPr>
          <w:rFonts w:hint="eastAsia" w:eastAsiaTheme="minorEastAsia"/>
          <w:lang w:eastAsia="zh-CN"/>
        </w:rPr>
        <w:t xml:space="preserve">On one BWP, it is possible that only </w:t>
      </w:r>
      <w:r>
        <w:rPr>
          <w:rFonts w:eastAsiaTheme="minorEastAsia"/>
          <w:lang w:eastAsia="zh-CN"/>
        </w:rPr>
        <w:t xml:space="preserve">the </w:t>
      </w:r>
      <w:r>
        <w:rPr>
          <w:rFonts w:hint="eastAsia" w:eastAsiaTheme="minorEastAsia"/>
          <w:lang w:eastAsia="zh-CN"/>
        </w:rPr>
        <w:t>CG confirmation MAC CE needs to be sent on the CG resource</w:t>
      </w:r>
      <w:r>
        <w:rPr>
          <w:rFonts w:eastAsiaTheme="minorEastAsia"/>
          <w:lang w:eastAsia="zh-CN"/>
        </w:rPr>
        <w:t>, no data matching this CG being available</w:t>
      </w:r>
      <w:r>
        <w:rPr>
          <w:rFonts w:hint="eastAsia" w:eastAsiaTheme="minorEastAsia"/>
          <w:lang w:eastAsia="zh-CN"/>
        </w:rPr>
        <w:t xml:space="preserve">. But it </w:t>
      </w:r>
      <w:r>
        <w:rPr>
          <w:rFonts w:eastAsiaTheme="minorEastAsia"/>
          <w:lang w:eastAsia="zh-CN"/>
        </w:rPr>
        <w:t xml:space="preserve">may </w:t>
      </w:r>
      <w:r>
        <w:rPr>
          <w:rFonts w:hint="eastAsia" w:eastAsiaTheme="minorEastAsia"/>
          <w:lang w:eastAsia="zh-CN"/>
        </w:rPr>
        <w:t xml:space="preserve">overlap with another </w:t>
      </w:r>
      <w:r>
        <w:rPr>
          <w:rFonts w:eastAsiaTheme="minorEastAsia"/>
          <w:lang w:eastAsia="zh-CN"/>
        </w:rPr>
        <w:t>grant (</w:t>
      </w:r>
      <w:r>
        <w:rPr>
          <w:rFonts w:hint="eastAsia" w:eastAsiaTheme="minorEastAsia"/>
          <w:lang w:eastAsia="zh-CN"/>
        </w:rPr>
        <w:t xml:space="preserve">either </w:t>
      </w:r>
      <w:r>
        <w:rPr>
          <w:rFonts w:eastAsiaTheme="minorEastAsia"/>
          <w:lang w:eastAsia="zh-CN"/>
        </w:rPr>
        <w:t>dynamic or configured) which has matching data to</w:t>
      </w:r>
      <w:r>
        <w:rPr>
          <w:rFonts w:hint="eastAsia" w:eastAsiaTheme="minorEastAsia"/>
          <w:lang w:eastAsia="zh-CN"/>
        </w:rPr>
        <w:t xml:space="preserve"> be sent. Considering the</w:t>
      </w:r>
      <w:r>
        <w:rPr>
          <w:rFonts w:eastAsiaTheme="minorEastAsia"/>
          <w:lang w:eastAsia="zh-CN"/>
        </w:rPr>
        <w:t xml:space="preserve"> </w:t>
      </w:r>
      <w:r>
        <w:rPr>
          <w:rFonts w:hint="eastAsia" w:eastAsiaTheme="minorEastAsia"/>
          <w:lang w:eastAsia="zh-CN"/>
        </w:rPr>
        <w:t xml:space="preserve">CG </w:t>
      </w:r>
      <w:r>
        <w:rPr>
          <w:rFonts w:eastAsiaTheme="minorEastAsia"/>
          <w:lang w:eastAsia="zh-CN"/>
        </w:rPr>
        <w:t>confirmation MAC CE</w:t>
      </w:r>
      <w:r>
        <w:rPr>
          <w:rFonts w:hint="eastAsia" w:eastAsiaTheme="minorEastAsia"/>
          <w:lang w:eastAsia="zh-CN"/>
        </w:rPr>
        <w:t xml:space="preserve"> has high</w:t>
      </w:r>
      <w:r>
        <w:rPr>
          <w:rFonts w:eastAsiaTheme="minorEastAsia"/>
          <w:lang w:eastAsia="zh-CN"/>
        </w:rPr>
        <w:t>er</w:t>
      </w:r>
      <w:r>
        <w:rPr>
          <w:rFonts w:hint="eastAsia" w:eastAsiaTheme="minorEastAsia"/>
          <w:lang w:eastAsia="zh-CN"/>
        </w:rPr>
        <w:t xml:space="preserve"> priority than the data, </w:t>
      </w:r>
      <w:r>
        <w:rPr>
          <w:rFonts w:eastAsiaTheme="minorEastAsia"/>
          <w:lang w:eastAsia="zh-CN"/>
        </w:rPr>
        <w:t xml:space="preserve">the prioritization rule will favor its CG, and the data in the other CG will be delayed. Without the resource mapping restriction for the </w:t>
      </w:r>
      <w:r>
        <w:rPr>
          <w:rFonts w:hint="eastAsia" w:eastAsiaTheme="minorEastAsia"/>
          <w:lang w:eastAsia="zh-CN"/>
        </w:rPr>
        <w:t xml:space="preserve">CG </w:t>
      </w:r>
      <w:r>
        <w:rPr>
          <w:rFonts w:eastAsiaTheme="minorEastAsia"/>
          <w:lang w:eastAsia="zh-CN"/>
        </w:rPr>
        <w:t>confirmation MAC CE,</w:t>
      </w:r>
      <w:r>
        <w:rPr>
          <w:rFonts w:hint="eastAsia" w:eastAsiaTheme="minorEastAsia"/>
          <w:lang w:eastAsia="zh-CN"/>
        </w:rPr>
        <w:t xml:space="preserve"> it</w:t>
      </w:r>
      <w:r>
        <w:rPr>
          <w:rFonts w:eastAsiaTheme="minorEastAsia"/>
          <w:lang w:eastAsia="zh-CN"/>
        </w:rPr>
        <w:t xml:space="preserve"> could have been sent in the other CG together with the data, without requiring any prioritization.</w:t>
      </w:r>
      <w:r>
        <w:rPr>
          <w:rFonts w:hint="eastAsia" w:eastAsiaTheme="minorEastAsia"/>
          <w:lang w:eastAsia="zh-CN"/>
        </w:rPr>
        <w:t xml:space="preserve"> </w:t>
      </w:r>
    </w:p>
    <w:p>
      <w:pPr>
        <w:pStyle w:val="3"/>
        <w:rPr>
          <w:rFonts w:eastAsiaTheme="minorEastAsia"/>
          <w:lang w:eastAsia="zh-CN"/>
        </w:rPr>
      </w:pPr>
      <w:r>
        <w:rPr>
          <w:rFonts w:hint="eastAsia" w:eastAsiaTheme="minorEastAsia"/>
          <w:lang w:eastAsia="zh-CN"/>
        </w:rPr>
        <w:t xml:space="preserve">In order to avoid the above drawbacks, we suggest </w:t>
      </w:r>
      <w:r>
        <w:rPr>
          <w:rFonts w:eastAsiaTheme="minorEastAsia"/>
          <w:lang w:eastAsia="zh-CN"/>
        </w:rPr>
        <w:t>introducing</w:t>
      </w:r>
      <w:r>
        <w:rPr>
          <w:rFonts w:hint="eastAsia" w:eastAsiaTheme="minorEastAsia"/>
          <w:lang w:eastAsia="zh-CN"/>
        </w:rPr>
        <w:t xml:space="preserve"> the CG index into the CG confirmation MAC CE. Assuming at most 16 CGs </w:t>
      </w:r>
      <w:r>
        <w:rPr>
          <w:rFonts w:eastAsiaTheme="minorEastAsia"/>
          <w:lang w:eastAsia="zh-CN"/>
        </w:rPr>
        <w:t>are</w:t>
      </w:r>
      <w:r>
        <w:rPr>
          <w:rFonts w:hint="eastAsia" w:eastAsiaTheme="minorEastAsia"/>
          <w:lang w:eastAsia="zh-CN"/>
        </w:rPr>
        <w:t xml:space="preserve"> supported for one UE, the new CG confirmation MAC CE format is shown in </w:t>
      </w:r>
      <w:r>
        <w:rPr>
          <w:rFonts w:eastAsiaTheme="minorEastAsia"/>
          <w:lang w:eastAsia="zh-CN"/>
        </w:rPr>
        <w:fldChar w:fldCharType="begin"/>
      </w:r>
      <w:r>
        <w:rPr>
          <w:rFonts w:eastAsiaTheme="minorEastAsia"/>
          <w:lang w:eastAsia="zh-CN"/>
        </w:rPr>
        <w:instrText xml:space="preserve"> </w:instrText>
      </w:r>
      <w:r>
        <w:rPr>
          <w:rFonts w:hint="eastAsia" w:eastAsiaTheme="minorEastAsia"/>
          <w:lang w:eastAsia="zh-CN"/>
        </w:rPr>
        <w:instrText xml:space="preserve">REF _Ref7083478 \h</w:instrText>
      </w:r>
      <w:r>
        <w:rPr>
          <w:rFonts w:eastAsiaTheme="minorEastAsia"/>
          <w:lang w:eastAsia="zh-CN"/>
        </w:rPr>
        <w:instrText xml:space="preserve">  \* MERGEFORMAT </w:instrText>
      </w:r>
      <w:r>
        <w:rPr>
          <w:rFonts w:eastAsiaTheme="minorEastAsia"/>
          <w:lang w:eastAsia="zh-CN"/>
        </w:rPr>
        <w:fldChar w:fldCharType="separate"/>
      </w:r>
      <w:r>
        <w:t>Figure 4</w:t>
      </w:r>
      <w:r>
        <w:rPr>
          <w:rFonts w:eastAsiaTheme="minorEastAsia"/>
          <w:lang w:eastAsia="zh-CN"/>
        </w:rPr>
        <w:fldChar w:fldCharType="end"/>
      </w:r>
      <w:r>
        <w:rPr>
          <w:rFonts w:hint="eastAsia" w:eastAsiaTheme="minorEastAsia"/>
          <w:lang w:eastAsia="zh-CN"/>
        </w:rPr>
        <w:t>:</w:t>
      </w:r>
    </w:p>
    <w:p>
      <w:pPr>
        <w:pStyle w:val="3"/>
        <w:numPr>
          <w:ilvl w:val="0"/>
          <w:numId w:val="10"/>
        </w:numPr>
        <w:spacing w:after="0"/>
        <w:ind w:hangingChars="210"/>
        <w:rPr>
          <w:rFonts w:eastAsiaTheme="minorEastAsia"/>
          <w:lang w:eastAsia="zh-CN"/>
        </w:rPr>
      </w:pPr>
      <w:r>
        <w:rPr>
          <w:rFonts w:hint="eastAsia" w:eastAsiaTheme="minorEastAsia"/>
          <w:lang w:eastAsia="zh-CN"/>
        </w:rPr>
        <w:t>R: is the reserved bit;</w:t>
      </w:r>
    </w:p>
    <w:p>
      <w:pPr>
        <w:pStyle w:val="3"/>
        <w:numPr>
          <w:ilvl w:val="0"/>
          <w:numId w:val="10"/>
        </w:numPr>
        <w:spacing w:after="0"/>
        <w:ind w:hangingChars="210"/>
        <w:rPr>
          <w:rFonts w:eastAsiaTheme="minorEastAsia"/>
          <w:lang w:eastAsia="zh-CN"/>
        </w:rPr>
      </w:pPr>
      <w:r>
        <w:rPr>
          <w:rFonts w:hint="eastAsia" w:eastAsiaTheme="minorEastAsia"/>
          <w:lang w:eastAsia="zh-CN"/>
        </w:rPr>
        <w:t>CG</w:t>
      </w:r>
      <w:r>
        <w:rPr>
          <w:rFonts w:hint="eastAsia" w:eastAsiaTheme="minorEastAsia"/>
          <w:i/>
          <w:sz w:val="13"/>
          <w:szCs w:val="13"/>
          <w:lang w:eastAsia="zh-CN"/>
        </w:rPr>
        <w:t>i</w:t>
      </w:r>
      <w:r>
        <w:rPr>
          <w:rFonts w:hint="eastAsia" w:eastAsiaTheme="minorEastAsia"/>
          <w:lang w:eastAsia="zh-CN"/>
        </w:rPr>
        <w:t xml:space="preserve">: indicates whether the CG with index </w:t>
      </w:r>
      <w:r>
        <w:rPr>
          <w:rFonts w:hint="eastAsia" w:eastAsiaTheme="minorEastAsia"/>
          <w:i/>
          <w:lang w:eastAsia="zh-CN"/>
        </w:rPr>
        <w:t>i</w:t>
      </w:r>
      <w:r>
        <w:rPr>
          <w:rFonts w:hint="eastAsia" w:eastAsiaTheme="minorEastAsia"/>
          <w:lang w:eastAsia="zh-CN"/>
        </w:rPr>
        <w:t xml:space="preserve"> is confirmed by this MAC CE.</w:t>
      </w:r>
    </w:p>
    <w:p>
      <w:pPr>
        <w:pStyle w:val="3"/>
        <w:spacing w:after="0"/>
        <w:ind w:left="420"/>
        <w:rPr>
          <w:rFonts w:eastAsiaTheme="minorEastAsia"/>
          <w:lang w:eastAsia="zh-CN"/>
        </w:rPr>
      </w:pPr>
    </w:p>
    <w:p>
      <w:pPr>
        <w:pStyle w:val="3"/>
        <w:ind w:left="100" w:leftChars="50" w:firstLine="1400" w:firstLineChars="700"/>
        <w:rPr>
          <w:rFonts w:eastAsiaTheme="minorEastAsia"/>
          <w:lang w:eastAsia="zh-CN"/>
        </w:rPr>
      </w:pPr>
      <w:r>
        <w:object>
          <v:shape id="_x0000_i1029" o:spt="75" type="#_x0000_t75" style="height:41.45pt;width:235.6pt;" o:ole="t" filled="f" o:preferrelative="t" stroked="f" coordsize="21600,21600">
            <v:path/>
            <v:fill on="f" focussize="0,0"/>
            <v:stroke on="f" joinstyle="miter"/>
            <v:imagedata r:id="rId16" o:title=""/>
            <o:lock v:ext="edit" aspectratio="t"/>
            <w10:wrap type="none"/>
            <w10:anchorlock/>
          </v:shape>
          <o:OLEObject Type="Embed" ProgID="Visio.Drawing.11" ShapeID="_x0000_i1029" DrawAspect="Content" ObjectID="_1468075729" r:id="rId15">
            <o:LockedField>false</o:LockedField>
          </o:OLEObject>
        </w:object>
      </w:r>
    </w:p>
    <w:p>
      <w:pPr>
        <w:pStyle w:val="3"/>
        <w:ind w:firstLine="2000" w:firstLineChars="1000"/>
        <w:rPr>
          <w:rFonts w:eastAsiaTheme="minorEastAsia"/>
          <w:lang w:eastAsia="zh-CN"/>
        </w:rPr>
      </w:pPr>
      <w:r>
        <w:rPr>
          <w:rFonts w:hint="eastAsia" w:eastAsiaTheme="minorEastAsia"/>
          <w:lang w:eastAsia="zh-CN"/>
        </w:rPr>
        <w:t>CG confirmation MAC CE subheader</w:t>
      </w:r>
    </w:p>
    <w:p>
      <w:pPr>
        <w:pStyle w:val="3"/>
        <w:ind w:firstLine="1100" w:firstLineChars="550"/>
        <w:rPr>
          <w:rFonts w:eastAsiaTheme="minorEastAsia"/>
          <w:lang w:eastAsia="zh-CN"/>
        </w:rPr>
      </w:pPr>
      <w:r>
        <w:object>
          <v:shape id="_x0000_i1030" o:spt="75" type="#_x0000_t75" style="height:67.95pt;width:267.25pt;" o:ole="t" filled="f" o:preferrelative="t" stroked="f" coordsize="21600,21600">
            <v:path/>
            <v:fill on="f" focussize="0,0"/>
            <v:stroke on="f" joinstyle="miter"/>
            <v:imagedata r:id="rId18" o:title=""/>
            <o:lock v:ext="edit" aspectratio="t"/>
            <w10:wrap type="none"/>
            <w10:anchorlock/>
          </v:shape>
          <o:OLEObject Type="Embed" ProgID="Visio.Drawing.11" ShapeID="_x0000_i1030" DrawAspect="Content" ObjectID="_1468075730" r:id="rId17">
            <o:LockedField>false</o:LockedField>
          </o:OLEObject>
        </w:object>
      </w:r>
    </w:p>
    <w:p>
      <w:pPr>
        <w:pStyle w:val="3"/>
        <w:ind w:left="100" w:leftChars="50" w:firstLine="1400" w:firstLineChars="700"/>
        <w:rPr>
          <w:rFonts w:eastAsiaTheme="minorEastAsia"/>
          <w:lang w:eastAsia="zh-CN"/>
        </w:rPr>
      </w:pPr>
      <w:r>
        <w:rPr>
          <w:rFonts w:hint="eastAsia" w:eastAsiaTheme="minorEastAsia"/>
          <w:lang w:eastAsia="zh-CN"/>
        </w:rPr>
        <w:t xml:space="preserve">                     CG confirmation MAC CE</w:t>
      </w:r>
    </w:p>
    <w:p>
      <w:pPr>
        <w:pStyle w:val="14"/>
        <w:ind w:firstLine="1506" w:firstLineChars="750"/>
        <w:rPr>
          <w:b/>
          <w:lang w:eastAsia="zh-CN"/>
        </w:rPr>
      </w:pPr>
      <w:bookmarkStart w:id="18" w:name="_Ref7083478"/>
      <w:r>
        <w:rPr>
          <w:b/>
        </w:rPr>
        <w:t xml:space="preserve">Figure </w:t>
      </w:r>
      <w:r>
        <w:rPr>
          <w:b/>
        </w:rPr>
        <w:fldChar w:fldCharType="begin"/>
      </w:r>
      <w:r>
        <w:rPr>
          <w:b/>
        </w:rPr>
        <w:instrText xml:space="preserve"> SEQ Figure \* ARABIC </w:instrText>
      </w:r>
      <w:r>
        <w:rPr>
          <w:b/>
        </w:rPr>
        <w:fldChar w:fldCharType="separate"/>
      </w:r>
      <w:r>
        <w:rPr>
          <w:b/>
        </w:rPr>
        <w:t>4</w:t>
      </w:r>
      <w:r>
        <w:rPr>
          <w:b/>
        </w:rPr>
        <w:fldChar w:fldCharType="end"/>
      </w:r>
      <w:bookmarkEnd w:id="18"/>
      <w:r>
        <w:rPr>
          <w:b/>
        </w:rPr>
        <w:t>:</w:t>
      </w:r>
      <w:r>
        <w:rPr>
          <w:rFonts w:hint="eastAsia"/>
          <w:b/>
          <w:lang w:eastAsia="zh-CN"/>
        </w:rPr>
        <w:t xml:space="preserve"> Example of the new CG confirmation MAC CE</w:t>
      </w:r>
      <w:bookmarkStart w:id="19" w:name="_Toc4752104"/>
    </w:p>
    <w:p>
      <w:pPr>
        <w:pStyle w:val="14"/>
        <w:rPr>
          <w:lang w:eastAsia="zh-CN"/>
        </w:rPr>
      </w:pPr>
      <w:r>
        <w:rPr>
          <w:lang w:eastAsia="zh-CN"/>
        </w:rPr>
        <w:t>Another benefit of this approach is that compared with sending each CG confirmation MAC CEs in separate PUSCH resources, the resource consumption by MAC CE(s) is lower for the single multi-bit MAC CE, i.e. more user data can be conveyed in the two CGs.</w:t>
      </w:r>
    </w:p>
    <w:p>
      <w:pPr>
        <w:pStyle w:val="14"/>
        <w:rPr>
          <w:b/>
          <w:lang w:eastAsia="zh-CN"/>
        </w:rPr>
      </w:pPr>
      <w:bookmarkStart w:id="20" w:name="_Toc7514899"/>
      <w:bookmarkStart w:id="21" w:name="_Ref7191963"/>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rFonts w:hint="eastAsia"/>
          <w:b/>
          <w:lang w:eastAsia="zh-CN"/>
        </w:rPr>
        <w:t xml:space="preserve">: </w:t>
      </w:r>
      <w:r>
        <w:rPr>
          <w:rFonts w:eastAsiaTheme="minorEastAsia"/>
          <w:b/>
          <w:lang w:eastAsia="zh-CN"/>
        </w:rPr>
        <w:t xml:space="preserve">Introduce CG </w:t>
      </w:r>
      <w:r>
        <w:rPr>
          <w:rFonts w:hint="eastAsia" w:eastAsiaTheme="minorEastAsia"/>
          <w:b/>
          <w:lang w:eastAsia="zh-CN"/>
        </w:rPr>
        <w:t xml:space="preserve">index in the </w:t>
      </w:r>
      <w:r>
        <w:rPr>
          <w:rFonts w:eastAsiaTheme="minorEastAsia"/>
          <w:b/>
          <w:lang w:eastAsia="zh-CN"/>
        </w:rPr>
        <w:t>CG confirmation MAC CE.</w:t>
      </w:r>
      <w:bookmarkEnd w:id="19"/>
      <w:bookmarkEnd w:id="20"/>
      <w:bookmarkEnd w:id="21"/>
    </w:p>
    <w:p>
      <w:pPr>
        <w:pStyle w:val="14"/>
        <w:rPr>
          <w:rFonts w:eastAsiaTheme="minorEastAsia"/>
          <w:b/>
          <w:lang w:eastAsia="zh-CN"/>
        </w:rPr>
      </w:pPr>
      <w:bookmarkStart w:id="22" w:name="_Toc4752105"/>
      <w:bookmarkStart w:id="23" w:name="_Ref7191967"/>
      <w:bookmarkStart w:id="24" w:name="_Toc7514900"/>
      <w:r>
        <w:rPr>
          <w:b/>
        </w:rPr>
        <w:t xml:space="preserve">Proposal </w:t>
      </w:r>
      <w:r>
        <w:rPr>
          <w:b/>
        </w:rPr>
        <w:fldChar w:fldCharType="begin"/>
      </w:r>
      <w:r>
        <w:rPr>
          <w:b/>
        </w:rPr>
        <w:instrText xml:space="preserve"> SEQ Proposal \* ARABIC </w:instrText>
      </w:r>
      <w:r>
        <w:rPr>
          <w:b/>
        </w:rPr>
        <w:fldChar w:fldCharType="separate"/>
      </w:r>
      <w:r>
        <w:rPr>
          <w:b/>
        </w:rPr>
        <w:t>6</w:t>
      </w:r>
      <w:r>
        <w:rPr>
          <w:b/>
        </w:rPr>
        <w:fldChar w:fldCharType="end"/>
      </w:r>
      <w:r>
        <w:rPr>
          <w:rFonts w:hint="eastAsia"/>
          <w:b/>
          <w:lang w:eastAsia="zh-CN"/>
        </w:rPr>
        <w:t xml:space="preserve">: </w:t>
      </w:r>
      <w:r>
        <w:rPr>
          <w:rFonts w:eastAsiaTheme="minorEastAsia"/>
          <w:b/>
          <w:lang w:eastAsia="zh-CN"/>
        </w:rPr>
        <w:t xml:space="preserve">Use a new LCID </w:t>
      </w:r>
      <w:r>
        <w:rPr>
          <w:rFonts w:hint="eastAsia" w:eastAsiaTheme="minorEastAsia"/>
          <w:b/>
          <w:lang w:eastAsia="zh-CN"/>
        </w:rPr>
        <w:t>to identify the legacy CG confirmation MAC CE and the new CG confirmation MAC CE</w:t>
      </w:r>
      <w:r>
        <w:rPr>
          <w:rFonts w:eastAsiaTheme="minorEastAsia"/>
          <w:b/>
          <w:lang w:eastAsia="zh-CN"/>
        </w:rPr>
        <w:t>.</w:t>
      </w:r>
      <w:bookmarkEnd w:id="22"/>
      <w:bookmarkEnd w:id="23"/>
      <w:bookmarkEnd w:id="24"/>
    </w:p>
    <w:p>
      <w:pPr>
        <w:pStyle w:val="4"/>
        <w:ind w:left="562" w:hanging="562"/>
        <w:jc w:val="both"/>
        <w:rPr>
          <w:rFonts w:eastAsiaTheme="minorEastAsia"/>
        </w:rPr>
      </w:pPr>
      <w:r>
        <w:rPr>
          <w:rFonts w:hint="eastAsia" w:eastAsiaTheme="minorEastAsia"/>
        </w:rPr>
        <w:t>Impact on LCP</w:t>
      </w:r>
    </w:p>
    <w:p>
      <w:pPr>
        <w:pStyle w:val="3"/>
        <w:rPr>
          <w:rFonts w:eastAsiaTheme="minorEastAsia"/>
          <w:lang w:eastAsia="zh-CN"/>
        </w:rPr>
      </w:pPr>
      <w:bookmarkStart w:id="25" w:name="OLE_LINK7"/>
      <w:bookmarkStart w:id="26" w:name="OLE_LINK8"/>
      <w:r>
        <w:rPr>
          <w:rFonts w:hint="eastAsia" w:eastAsiaTheme="minorEastAsia"/>
          <w:lang w:eastAsia="zh-CN"/>
        </w:rPr>
        <w:t xml:space="preserve">In Rel-15 NR Uu, regarding to the CG, there is only one LCP restriction parameter, </w:t>
      </w:r>
      <w:r>
        <w:rPr>
          <w:i/>
          <w:lang w:eastAsia="ko-KR"/>
        </w:rPr>
        <w:t>configuredGrantType1Allowed</w:t>
      </w:r>
      <w:r>
        <w:rPr>
          <w:rFonts w:hint="eastAsia" w:eastAsiaTheme="minorEastAsia"/>
          <w:lang w:eastAsia="zh-CN"/>
        </w:rPr>
        <w:t>, which restrict</w:t>
      </w:r>
      <w:r>
        <w:rPr>
          <w:rFonts w:eastAsiaTheme="minorEastAsia"/>
          <w:lang w:eastAsia="zh-CN"/>
        </w:rPr>
        <w:t>s</w:t>
      </w:r>
      <w:r>
        <w:rPr>
          <w:rFonts w:hint="eastAsia" w:eastAsiaTheme="minorEastAsia"/>
          <w:lang w:eastAsia="zh-CN"/>
        </w:rPr>
        <w:t xml:space="preserve"> whether one logical channel can use the type 1 CG. For the type 2 CG, there is no such restriction.</w:t>
      </w:r>
    </w:p>
    <w:p>
      <w:pPr>
        <w:pStyle w:val="3"/>
        <w:rPr>
          <w:rFonts w:eastAsiaTheme="minorEastAsia"/>
          <w:lang w:eastAsia="zh-CN"/>
        </w:rPr>
      </w:pPr>
      <w:r>
        <w:rPr>
          <w:rFonts w:hint="eastAsia" w:eastAsiaTheme="minorEastAsia"/>
          <w:lang w:eastAsia="zh-CN"/>
        </w:rPr>
        <w:t xml:space="preserve">In Rel-16 IIOT, if the same LCP restriction parameters are used, the LCP procedure cannot ensure </w:t>
      </w:r>
      <w:r>
        <w:rPr>
          <w:rFonts w:eastAsiaTheme="minorEastAsia"/>
          <w:lang w:eastAsia="zh-CN"/>
        </w:rPr>
        <w:t>a</w:t>
      </w:r>
      <w:r>
        <w:rPr>
          <w:rFonts w:hint="eastAsia" w:eastAsiaTheme="minorEastAsia"/>
          <w:lang w:eastAsia="zh-CN"/>
        </w:rPr>
        <w:t xml:space="preserve"> logical channel is served by the CG configured based on its traffic pattern. This will impact the IIOT service latency. In order to solve this problem, some association </w:t>
      </w:r>
      <w:r>
        <w:rPr>
          <w:rFonts w:eastAsiaTheme="minorEastAsia"/>
          <w:lang w:eastAsia="zh-CN"/>
        </w:rPr>
        <w:t xml:space="preserve">is needed </w:t>
      </w:r>
      <w:r>
        <w:rPr>
          <w:rFonts w:hint="eastAsia" w:eastAsiaTheme="minorEastAsia"/>
          <w:lang w:eastAsia="zh-CN"/>
        </w:rPr>
        <w:t>between the logical channel and its related CG(s).  The most direct method is to introduce the CG index as one of the LCP restriction parameters for each logical channel.</w:t>
      </w:r>
    </w:p>
    <w:p>
      <w:pPr>
        <w:pStyle w:val="3"/>
        <w:spacing w:before="120" w:beforeLines="50"/>
        <w:rPr>
          <w:rFonts w:eastAsiaTheme="minorEastAsia"/>
          <w:b/>
          <w:lang w:eastAsia="zh-CN"/>
        </w:rPr>
      </w:pPr>
      <w:bookmarkStart w:id="27" w:name="_Ref6582312"/>
      <w:bookmarkStart w:id="28" w:name="_Ref7013218"/>
      <w:bookmarkStart w:id="29" w:name="_Toc7514901"/>
      <w:r>
        <w:rPr>
          <w:b/>
        </w:rPr>
        <w:t xml:space="preserve">Proposal </w:t>
      </w:r>
      <w:r>
        <w:rPr>
          <w:b/>
        </w:rPr>
        <w:fldChar w:fldCharType="begin"/>
      </w:r>
      <w:r>
        <w:rPr>
          <w:b/>
        </w:rPr>
        <w:instrText xml:space="preserve"> SEQ Proposal \* ARABIC </w:instrText>
      </w:r>
      <w:r>
        <w:rPr>
          <w:b/>
        </w:rPr>
        <w:fldChar w:fldCharType="separate"/>
      </w:r>
      <w:r>
        <w:rPr>
          <w:b/>
        </w:rPr>
        <w:t>7</w:t>
      </w:r>
      <w:r>
        <w:rPr>
          <w:b/>
        </w:rPr>
        <w:fldChar w:fldCharType="end"/>
      </w:r>
      <w:r>
        <w:rPr>
          <w:rFonts w:hint="eastAsia"/>
          <w:b/>
          <w:lang w:eastAsia="zh-CN"/>
        </w:rPr>
        <w:t>:</w:t>
      </w:r>
      <w:r>
        <w:rPr>
          <w:rFonts w:hint="eastAsia" w:eastAsiaTheme="minorEastAsia"/>
          <w:b/>
          <w:lang w:eastAsia="zh-CN"/>
        </w:rPr>
        <w:t xml:space="preserve">  </w:t>
      </w:r>
      <w:bookmarkEnd w:id="27"/>
      <w:r>
        <w:rPr>
          <w:rFonts w:eastAsiaTheme="minorEastAsia"/>
          <w:b/>
          <w:lang w:eastAsia="zh-CN"/>
        </w:rPr>
        <w:t xml:space="preserve">When a CG configuration targets one or multiple logical channels, the </w:t>
      </w:r>
      <w:r>
        <w:rPr>
          <w:rFonts w:hint="eastAsia" w:eastAsiaTheme="minorEastAsia"/>
          <w:b/>
          <w:lang w:eastAsia="zh-CN"/>
        </w:rPr>
        <w:t xml:space="preserve">CG index </w:t>
      </w:r>
      <w:r>
        <w:rPr>
          <w:rFonts w:eastAsiaTheme="minorEastAsia"/>
          <w:b/>
          <w:lang w:eastAsia="zh-CN"/>
        </w:rPr>
        <w:t xml:space="preserve">is used </w:t>
      </w:r>
      <w:r>
        <w:rPr>
          <w:rFonts w:hint="eastAsia" w:eastAsiaTheme="minorEastAsia"/>
          <w:b/>
          <w:lang w:eastAsia="zh-CN"/>
        </w:rPr>
        <w:t xml:space="preserve">as one of the LCP restriction parameters for </w:t>
      </w:r>
      <w:r>
        <w:rPr>
          <w:rFonts w:eastAsiaTheme="minorEastAsia"/>
          <w:b/>
          <w:lang w:eastAsia="zh-CN"/>
        </w:rPr>
        <w:t xml:space="preserve">the related </w:t>
      </w:r>
      <w:r>
        <w:rPr>
          <w:rFonts w:hint="eastAsia" w:eastAsiaTheme="minorEastAsia"/>
          <w:b/>
          <w:lang w:eastAsia="zh-CN"/>
        </w:rPr>
        <w:t>logical channel</w:t>
      </w:r>
      <w:r>
        <w:rPr>
          <w:rFonts w:eastAsiaTheme="minorEastAsia"/>
          <w:b/>
          <w:lang w:eastAsia="zh-CN"/>
        </w:rPr>
        <w:t>(s)</w:t>
      </w:r>
      <w:r>
        <w:rPr>
          <w:rFonts w:hint="eastAsia" w:eastAsiaTheme="minorEastAsia"/>
          <w:b/>
          <w:lang w:eastAsia="zh-CN"/>
        </w:rPr>
        <w:t>.</w:t>
      </w:r>
      <w:bookmarkEnd w:id="28"/>
      <w:bookmarkEnd w:id="29"/>
    </w:p>
    <w:bookmarkEnd w:id="25"/>
    <w:bookmarkEnd w:id="26"/>
    <w:p>
      <w:pPr>
        <w:pStyle w:val="2"/>
        <w:jc w:val="both"/>
      </w:pPr>
      <w:r>
        <w:t>Conclusion</w:t>
      </w:r>
    </w:p>
    <w:p>
      <w:pPr>
        <w:pStyle w:val="3"/>
        <w:rPr>
          <w:rFonts w:eastAsia="宋体"/>
          <w:lang w:val="en-GB" w:eastAsia="zh-CN"/>
        </w:rPr>
      </w:pPr>
      <w:r>
        <w:rPr>
          <w:rFonts w:hint="eastAsia" w:eastAsia="宋体"/>
          <w:lang w:val="en-GB" w:eastAsia="zh-CN"/>
        </w:rPr>
        <w:t>According to the analysis in section 2, it is proposed:</w:t>
      </w:r>
    </w:p>
    <w:p>
      <w:pPr>
        <w:pStyle w:val="25"/>
        <w:tabs>
          <w:tab w:val="right" w:leader="dot" w:pos="8296"/>
        </w:tabs>
        <w:spacing w:after="120"/>
        <w:rPr>
          <w:rFonts w:asciiTheme="minorHAnsi" w:hAnsiTheme="minorHAnsi" w:eastAsiaTheme="minorEastAsia" w:cstheme="minorBidi"/>
          <w:sz w:val="22"/>
          <w:szCs w:val="22"/>
          <w:lang w:eastAsia="zh-CN"/>
        </w:rPr>
      </w:pPr>
      <w:r>
        <w:rPr>
          <w:b/>
          <w:bCs/>
          <w:lang w:val="en-GB"/>
        </w:rPr>
        <w:fldChar w:fldCharType="begin"/>
      </w:r>
      <w:r>
        <w:rPr>
          <w:b/>
          <w:bCs/>
          <w:lang w:val="en-GB"/>
        </w:rPr>
        <w:instrText xml:space="preserve"> TOC \n \h \z \c "Proposal" </w:instrText>
      </w:r>
      <w:r>
        <w:rPr>
          <w:b/>
          <w:bCs/>
          <w:lang w:val="en-GB"/>
        </w:rPr>
        <w:fldChar w:fldCharType="separate"/>
      </w:r>
      <w:r>
        <w:fldChar w:fldCharType="begin"/>
      </w:r>
      <w:r>
        <w:instrText xml:space="preserve"> HYPERLINK \l "_Toc7514895" </w:instrText>
      </w:r>
      <w:r>
        <w:fldChar w:fldCharType="separate"/>
      </w:r>
      <w:r>
        <w:rPr>
          <w:rStyle w:val="36"/>
          <w:b/>
        </w:rPr>
        <w:t>Proposal 1</w:t>
      </w:r>
      <w:r>
        <w:rPr>
          <w:rStyle w:val="36"/>
          <w:b/>
          <w:lang w:eastAsia="zh-CN"/>
        </w:rPr>
        <w:t>: CG index should be introduced to identify the multiple CGs for different TSC traffic patterns.</w:t>
      </w:r>
      <w:r>
        <w:rPr>
          <w:rStyle w:val="36"/>
          <w:b/>
          <w:lang w:eastAsia="zh-CN"/>
        </w:rPr>
        <w:fldChar w:fldCharType="end"/>
      </w:r>
    </w:p>
    <w:p>
      <w:pPr>
        <w:pStyle w:val="25"/>
        <w:tabs>
          <w:tab w:val="right" w:leader="dot" w:pos="8296"/>
        </w:tabs>
        <w:spacing w:after="120"/>
        <w:rPr>
          <w:rFonts w:asciiTheme="minorHAnsi" w:hAnsiTheme="minorHAnsi" w:eastAsiaTheme="minorEastAsia" w:cstheme="minorBidi"/>
          <w:sz w:val="22"/>
          <w:szCs w:val="22"/>
          <w:lang w:eastAsia="zh-CN"/>
        </w:rPr>
      </w:pPr>
      <w:r>
        <w:fldChar w:fldCharType="begin"/>
      </w:r>
      <w:r>
        <w:instrText xml:space="preserve"> HYPERLINK \l "_Toc7514896" </w:instrText>
      </w:r>
      <w:r>
        <w:fldChar w:fldCharType="separate"/>
      </w:r>
      <w:r>
        <w:rPr>
          <w:rStyle w:val="36"/>
          <w:b/>
        </w:rPr>
        <w:t>Proposal 2:  The multiple SPS/CGs used for addressing the arrival time jitter of a low-latency traffic flow can be gathered into one group sharing the same SPS/CG configuration index.</w:t>
      </w:r>
      <w:r>
        <w:rPr>
          <w:rStyle w:val="36"/>
          <w:b/>
        </w:rPr>
        <w:fldChar w:fldCharType="end"/>
      </w:r>
    </w:p>
    <w:p>
      <w:pPr>
        <w:pStyle w:val="25"/>
        <w:tabs>
          <w:tab w:val="right" w:leader="dot" w:pos="8296"/>
        </w:tabs>
        <w:spacing w:after="120"/>
        <w:rPr>
          <w:rFonts w:asciiTheme="minorHAnsi" w:hAnsiTheme="minorHAnsi" w:eastAsiaTheme="minorEastAsia" w:cstheme="minorBidi"/>
          <w:sz w:val="22"/>
          <w:szCs w:val="22"/>
          <w:lang w:eastAsia="zh-CN"/>
        </w:rPr>
      </w:pPr>
      <w:r>
        <w:fldChar w:fldCharType="begin"/>
      </w:r>
      <w:r>
        <w:instrText xml:space="preserve"> HYPERLINK \l "_Toc7514897" </w:instrText>
      </w:r>
      <w:r>
        <w:fldChar w:fldCharType="separate"/>
      </w:r>
      <w:r>
        <w:rPr>
          <w:rStyle w:val="36"/>
          <w:b/>
        </w:rPr>
        <w:t>Proposal 3:  The maximum number of SPS/CGs per MAC entity is 16.</w:t>
      </w:r>
      <w:r>
        <w:rPr>
          <w:rStyle w:val="36"/>
          <w:b/>
        </w:rPr>
        <w:fldChar w:fldCharType="end"/>
      </w:r>
    </w:p>
    <w:p>
      <w:pPr>
        <w:pStyle w:val="25"/>
        <w:tabs>
          <w:tab w:val="right" w:leader="dot" w:pos="8296"/>
        </w:tabs>
        <w:spacing w:after="120"/>
        <w:rPr>
          <w:rFonts w:asciiTheme="minorHAnsi" w:hAnsiTheme="minorHAnsi" w:eastAsiaTheme="minorEastAsia" w:cstheme="minorBidi"/>
          <w:sz w:val="22"/>
          <w:szCs w:val="22"/>
          <w:lang w:eastAsia="zh-CN"/>
        </w:rPr>
      </w:pPr>
      <w:r>
        <w:fldChar w:fldCharType="begin"/>
      </w:r>
      <w:r>
        <w:instrText xml:space="preserve"> HYPERLINK \l "_Toc7514898" </w:instrText>
      </w:r>
      <w:r>
        <w:fldChar w:fldCharType="separate"/>
      </w:r>
      <w:r>
        <w:rPr>
          <w:rStyle w:val="36"/>
          <w:b/>
        </w:rPr>
        <w:t>Proposal 4</w:t>
      </w:r>
      <w:r>
        <w:rPr>
          <w:rStyle w:val="36"/>
          <w:b/>
          <w:lang w:eastAsia="zh-CN"/>
        </w:rPr>
        <w:t>: RAN2 to down select one alternative for the offset determination in HARQ process ID calculation.</w:t>
      </w:r>
      <w:r>
        <w:rPr>
          <w:rStyle w:val="36"/>
          <w:b/>
          <w:lang w:eastAsia="zh-CN"/>
        </w:rPr>
        <w:fldChar w:fldCharType="end"/>
      </w:r>
    </w:p>
    <w:p>
      <w:pPr>
        <w:pStyle w:val="25"/>
        <w:tabs>
          <w:tab w:val="right" w:leader="dot" w:pos="8296"/>
        </w:tabs>
        <w:spacing w:after="120"/>
        <w:rPr>
          <w:rFonts w:asciiTheme="minorHAnsi" w:hAnsiTheme="minorHAnsi" w:eastAsiaTheme="minorEastAsia" w:cstheme="minorBidi"/>
          <w:sz w:val="22"/>
          <w:szCs w:val="22"/>
          <w:lang w:eastAsia="zh-CN"/>
        </w:rPr>
      </w:pPr>
      <w:r>
        <w:fldChar w:fldCharType="begin"/>
      </w:r>
      <w:r>
        <w:instrText xml:space="preserve"> HYPERLINK \l "_Toc7514899" </w:instrText>
      </w:r>
      <w:r>
        <w:fldChar w:fldCharType="separate"/>
      </w:r>
      <w:r>
        <w:rPr>
          <w:rStyle w:val="36"/>
          <w:b/>
        </w:rPr>
        <w:t>Proposal 5</w:t>
      </w:r>
      <w:r>
        <w:rPr>
          <w:rStyle w:val="36"/>
          <w:b/>
          <w:lang w:eastAsia="zh-CN"/>
        </w:rPr>
        <w:t>: Introduce CG index in the CG confirmation MAC CE.</w:t>
      </w:r>
      <w:r>
        <w:rPr>
          <w:rStyle w:val="36"/>
          <w:b/>
          <w:lang w:eastAsia="zh-CN"/>
        </w:rPr>
        <w:fldChar w:fldCharType="end"/>
      </w:r>
    </w:p>
    <w:p>
      <w:pPr>
        <w:pStyle w:val="25"/>
        <w:tabs>
          <w:tab w:val="right" w:leader="dot" w:pos="8296"/>
        </w:tabs>
        <w:spacing w:after="120"/>
        <w:rPr>
          <w:rFonts w:asciiTheme="minorHAnsi" w:hAnsiTheme="minorHAnsi" w:eastAsiaTheme="minorEastAsia" w:cstheme="minorBidi"/>
          <w:sz w:val="22"/>
          <w:szCs w:val="22"/>
          <w:lang w:eastAsia="zh-CN"/>
        </w:rPr>
      </w:pPr>
      <w:r>
        <w:fldChar w:fldCharType="begin"/>
      </w:r>
      <w:r>
        <w:instrText xml:space="preserve"> HYPERLINK \l "_Toc7514900" </w:instrText>
      </w:r>
      <w:r>
        <w:fldChar w:fldCharType="separate"/>
      </w:r>
      <w:r>
        <w:rPr>
          <w:rStyle w:val="36"/>
          <w:b/>
        </w:rPr>
        <w:t>Proposal 6</w:t>
      </w:r>
      <w:r>
        <w:rPr>
          <w:rStyle w:val="36"/>
          <w:b/>
          <w:lang w:eastAsia="zh-CN"/>
        </w:rPr>
        <w:t>: Use a new LCID to identify the legacy CG confirmation MAC CE and the new CG confirmation MAC CE.</w:t>
      </w:r>
      <w:r>
        <w:rPr>
          <w:rStyle w:val="36"/>
          <w:b/>
          <w:lang w:eastAsia="zh-CN"/>
        </w:rPr>
        <w:fldChar w:fldCharType="end"/>
      </w:r>
    </w:p>
    <w:p>
      <w:pPr>
        <w:pStyle w:val="25"/>
        <w:tabs>
          <w:tab w:val="right" w:leader="dot" w:pos="8296"/>
        </w:tabs>
        <w:spacing w:after="120"/>
        <w:rPr>
          <w:rFonts w:asciiTheme="minorHAnsi" w:hAnsiTheme="minorHAnsi" w:eastAsiaTheme="minorEastAsia" w:cstheme="minorBidi"/>
          <w:sz w:val="22"/>
          <w:szCs w:val="22"/>
          <w:lang w:eastAsia="zh-CN"/>
        </w:rPr>
      </w:pPr>
      <w:r>
        <w:fldChar w:fldCharType="begin"/>
      </w:r>
      <w:r>
        <w:instrText xml:space="preserve"> HYPERLINK \l "_Toc7514901" </w:instrText>
      </w:r>
      <w:r>
        <w:fldChar w:fldCharType="separate"/>
      </w:r>
      <w:r>
        <w:rPr>
          <w:rStyle w:val="36"/>
          <w:b/>
        </w:rPr>
        <w:t>Proposal 7</w:t>
      </w:r>
      <w:r>
        <w:rPr>
          <w:rStyle w:val="36"/>
          <w:b/>
          <w:lang w:eastAsia="zh-CN"/>
        </w:rPr>
        <w:t>:  When a CG configuration targets one or multiple logical channels, the CG index is used as one of the LCP restriction parameters for the related logical channel(s).</w:t>
      </w:r>
      <w:r>
        <w:rPr>
          <w:rStyle w:val="36"/>
          <w:b/>
          <w:lang w:eastAsia="zh-CN"/>
        </w:rPr>
        <w:fldChar w:fldCharType="end"/>
      </w:r>
    </w:p>
    <w:p>
      <w:pPr>
        <w:pStyle w:val="2"/>
        <w:jc w:val="both"/>
      </w:pPr>
      <w:r>
        <w:rPr>
          <w:rFonts w:eastAsia="MS Mincho"/>
          <w:b w:val="0"/>
          <w:bCs w:val="0"/>
          <w:lang w:val="en-GB"/>
        </w:rPr>
        <w:fldChar w:fldCharType="end"/>
      </w:r>
      <w:r>
        <w:rPr>
          <w:rFonts w:hint="eastAsia"/>
        </w:rPr>
        <w:t>Reference</w:t>
      </w:r>
    </w:p>
    <w:p>
      <w:pPr>
        <w:pStyle w:val="3"/>
        <w:numPr>
          <w:ilvl w:val="0"/>
          <w:numId w:val="11"/>
        </w:numPr>
        <w:rPr>
          <w:rFonts w:eastAsiaTheme="minorEastAsia"/>
          <w:lang w:eastAsia="zh-CN"/>
        </w:rPr>
      </w:pPr>
      <w:bookmarkStart w:id="30" w:name="_Ref6562900"/>
      <w:r>
        <w:rPr>
          <w:rFonts w:hint="eastAsia" w:eastAsiaTheme="minorEastAsia"/>
          <w:lang w:eastAsia="zh-CN"/>
        </w:rPr>
        <w:t xml:space="preserve">R1-1905609   </w:t>
      </w:r>
      <w:r>
        <w:rPr>
          <w:rFonts w:eastAsiaTheme="minorEastAsia"/>
          <w:lang w:eastAsia="zh-CN"/>
        </w:rPr>
        <w:t>Summary of 7.2.6.</w:t>
      </w:r>
      <w:bookmarkStart w:id="31" w:name="_Toc521704559"/>
      <w:r>
        <w:rPr>
          <w:rFonts w:eastAsiaTheme="minorEastAsia"/>
          <w:lang w:eastAsia="zh-CN"/>
        </w:rPr>
        <w:t>6 Enhanced UL configured grant transmission</w:t>
      </w:r>
      <w:bookmarkEnd w:id="30"/>
      <w:bookmarkEnd w:id="31"/>
    </w:p>
    <w:p>
      <w:pPr>
        <w:pStyle w:val="3"/>
        <w:numPr>
          <w:ilvl w:val="0"/>
          <w:numId w:val="11"/>
        </w:numPr>
        <w:rPr>
          <w:rFonts w:eastAsiaTheme="minorEastAsia"/>
          <w:lang w:eastAsia="zh-CN"/>
        </w:rPr>
      </w:pPr>
      <w:r>
        <w:fldChar w:fldCharType="begin"/>
      </w:r>
      <w:r>
        <w:instrText xml:space="preserve"> HYPERLINK "file:///D:\\Documents\\3GPP\\tsg_ran\\WG2\\RAN2\\Docs\\R2-1903149.zip" \o "D:Documents3GPPtsg_ranWG2RAN2DocsR2-1903149.zip" </w:instrText>
      </w:r>
      <w:r>
        <w:fldChar w:fldCharType="separate"/>
      </w:r>
      <w:r>
        <w:rPr>
          <w:rFonts w:eastAsiaTheme="minorEastAsia"/>
          <w:lang w:eastAsia="zh-CN"/>
        </w:rPr>
        <w:t>R2-1903149</w:t>
      </w:r>
      <w:r>
        <w:rPr>
          <w:rFonts w:eastAsiaTheme="minorEastAsia"/>
          <w:lang w:eastAsia="zh-CN"/>
        </w:rPr>
        <w:fldChar w:fldCharType="end"/>
      </w:r>
      <w:r>
        <w:rPr>
          <w:rFonts w:hint="eastAsia"/>
        </w:rPr>
        <w:t xml:space="preserve"> </w:t>
      </w:r>
      <w:r>
        <w:rPr>
          <w:rFonts w:hint="eastAsia" w:eastAsiaTheme="minorEastAsia"/>
          <w:lang w:eastAsia="zh-CN"/>
        </w:rPr>
        <w:t xml:space="preserve">  </w:t>
      </w:r>
      <w:r>
        <w:rPr>
          <w:rFonts w:eastAsiaTheme="minorEastAsia"/>
          <w:lang w:eastAsia="zh-CN"/>
        </w:rPr>
        <w:t>MAC-specific aspects of multiple active SPS/CG configurations</w:t>
      </w:r>
      <w:r>
        <w:rPr>
          <w:rFonts w:hint="eastAsia" w:eastAsiaTheme="minorEastAsia"/>
          <w:lang w:eastAsia="zh-CN"/>
        </w:rPr>
        <w:t xml:space="preserve">   </w:t>
      </w:r>
      <w:r>
        <w:rPr>
          <w:rFonts w:eastAsiaTheme="minorEastAsia"/>
          <w:lang w:eastAsia="zh-CN"/>
        </w:rPr>
        <w:t>CATT</w:t>
      </w:r>
    </w:p>
    <w:p>
      <w:pPr>
        <w:pStyle w:val="3"/>
        <w:numPr>
          <w:ilvl w:val="0"/>
          <w:numId w:val="11"/>
        </w:numPr>
        <w:rPr>
          <w:rFonts w:eastAsiaTheme="minorEastAsia"/>
          <w:lang w:eastAsia="zh-CN"/>
        </w:rPr>
      </w:pPr>
      <w:bookmarkStart w:id="32" w:name="_Ref7632549"/>
      <w:r>
        <w:rPr>
          <w:rFonts w:eastAsiaTheme="minorEastAsia"/>
          <w:lang w:eastAsia="zh-CN"/>
        </w:rPr>
        <w:t>R2-1904046</w:t>
      </w:r>
      <w:r>
        <w:rPr>
          <w:rFonts w:eastAsiaTheme="minorEastAsia"/>
          <w:lang w:eastAsia="zh-CN"/>
        </w:rPr>
        <w:tab/>
      </w:r>
      <w:r>
        <w:rPr>
          <w:rFonts w:hint="eastAsia" w:eastAsiaTheme="minorEastAsia"/>
          <w:lang w:eastAsia="zh-CN"/>
        </w:rPr>
        <w:t xml:space="preserve">   </w:t>
      </w:r>
      <w:r>
        <w:rPr>
          <w:rFonts w:eastAsiaTheme="minorEastAsia"/>
          <w:lang w:eastAsia="zh-CN"/>
        </w:rPr>
        <w:t>On Confirmation for multiple configured grant configurations</w:t>
      </w:r>
      <w:r>
        <w:rPr>
          <w:rFonts w:hint="eastAsia" w:eastAsiaTheme="minorEastAsia"/>
          <w:lang w:eastAsia="zh-CN"/>
        </w:rPr>
        <w:t xml:space="preserve">   </w:t>
      </w:r>
      <w:r>
        <w:rPr>
          <w:rFonts w:eastAsiaTheme="minorEastAsia"/>
          <w:lang w:eastAsia="zh-CN"/>
        </w:rPr>
        <w:t>Ericsson</w:t>
      </w:r>
      <w:bookmarkEnd w:id="32"/>
    </w:p>
    <w:p>
      <w:pPr>
        <w:pStyle w:val="3"/>
        <w:numPr>
          <w:ilvl w:val="0"/>
          <w:numId w:val="11"/>
        </w:numPr>
        <w:rPr>
          <w:rFonts w:eastAsiaTheme="minorEastAsia"/>
          <w:lang w:eastAsia="zh-CN"/>
        </w:rPr>
      </w:pPr>
      <w:bookmarkStart w:id="33" w:name="_Ref7191558"/>
      <w:r>
        <w:t>R2-1903584</w:t>
      </w:r>
      <w:r>
        <w:tab/>
      </w:r>
      <w:r>
        <w:rPr>
          <w:rFonts w:hint="eastAsia" w:eastAsiaTheme="minorEastAsia"/>
          <w:lang w:eastAsia="zh-CN"/>
        </w:rPr>
        <w:t xml:space="preserve">  </w:t>
      </w:r>
      <w:r>
        <w:t>SPS enhancements for TSC traffic</w:t>
      </w:r>
      <w:r>
        <w:tab/>
      </w:r>
      <w:r>
        <w:t>NTT DOCOMO INC</w:t>
      </w:r>
      <w:bookmarkEnd w:id="33"/>
      <w:r>
        <w:rPr>
          <w:rFonts w:hint="eastAsia" w:eastAsiaTheme="minorEastAsia"/>
          <w:lang w:eastAsia="zh-CN"/>
        </w:rPr>
        <w:t>;</w:t>
      </w:r>
    </w:p>
    <w:p>
      <w:pPr>
        <w:pStyle w:val="3"/>
        <w:numPr>
          <w:ilvl w:val="0"/>
          <w:numId w:val="11"/>
        </w:numPr>
        <w:rPr>
          <w:rFonts w:eastAsiaTheme="minorEastAsia"/>
          <w:lang w:eastAsia="zh-CN"/>
        </w:rPr>
      </w:pPr>
      <w:bookmarkStart w:id="34" w:name="_Ref7358801"/>
      <w:r>
        <w:rPr>
          <w:rFonts w:hint="eastAsia" w:eastAsiaTheme="minorEastAsia"/>
          <w:lang w:eastAsia="zh-CN"/>
        </w:rPr>
        <w:t>RAN2#105bis meeting chairman notes;</w:t>
      </w:r>
      <w:bookmarkEnd w:id="34"/>
    </w:p>
    <w:p>
      <w:pPr>
        <w:pStyle w:val="3"/>
        <w:numPr>
          <w:ilvl w:val="0"/>
          <w:numId w:val="11"/>
        </w:numPr>
        <w:rPr>
          <w:rFonts w:eastAsiaTheme="minorEastAsia"/>
          <w:lang w:eastAsia="zh-CN"/>
        </w:rPr>
      </w:pPr>
      <w:bookmarkStart w:id="35" w:name="_Ref7192097"/>
      <w:r>
        <w:t>R2-1905457</w:t>
      </w:r>
      <w:r>
        <w:tab/>
      </w:r>
      <w:r>
        <w:rPr>
          <w:rFonts w:hint="eastAsia" w:eastAsiaTheme="minorEastAsia"/>
          <w:lang w:eastAsia="zh-CN"/>
        </w:rPr>
        <w:t xml:space="preserve">  </w:t>
      </w:r>
      <w:r>
        <w:t>LS on shorter SPS periodicities NTT DOCOMO INC</w:t>
      </w:r>
      <w:bookmarkEnd w:id="35"/>
    </w:p>
    <w:p>
      <w:pPr>
        <w:pStyle w:val="3"/>
        <w:ind w:left="420"/>
        <w:rPr>
          <w:rFonts w:eastAsiaTheme="minorEastAsia"/>
          <w:lang w:eastAsia="zh-CN"/>
        </w:rPr>
      </w:pPr>
    </w:p>
    <w:p>
      <w:pPr>
        <w:pStyle w:val="3"/>
        <w:ind w:left="420"/>
        <w:rPr>
          <w:rFonts w:eastAsiaTheme="minorEastAsia"/>
          <w:lang w:eastAsia="zh-CN"/>
        </w:rPr>
      </w:pPr>
    </w:p>
    <w:p>
      <w:pPr>
        <w:pStyle w:val="3"/>
        <w:ind w:left="420"/>
        <w:rPr>
          <w:rFonts w:eastAsiaTheme="minorEastAsia"/>
          <w:lang w:eastAsia="zh-CN"/>
        </w:rPr>
      </w:pPr>
    </w:p>
    <w:p>
      <w:pPr>
        <w:pStyle w:val="3"/>
        <w:ind w:left="420"/>
        <w:rPr>
          <w:rFonts w:eastAsiaTheme="minorEastAsia"/>
          <w:lang w:eastAsia="zh-CN"/>
        </w:rPr>
      </w:pPr>
    </w:p>
    <w:p>
      <w:pPr>
        <w:pStyle w:val="3"/>
        <w:rPr>
          <w:rFonts w:eastAsiaTheme="minorEastAsia"/>
          <w:b/>
          <w:lang w:val="en-GB" w:eastAsia="zh-CN"/>
        </w:rPr>
      </w:pPr>
    </w:p>
    <w:sectPr>
      <w:headerReference r:id="rId3" w:type="default"/>
      <w:footerReference r:id="rId4" w:type="default"/>
      <w:footerReference r:id="rId5" w:type="even"/>
      <w:pgSz w:w="11906" w:h="16838"/>
      <w:pgMar w:top="1440" w:right="1800" w:bottom="1440" w:left="1800" w:header="708" w:footer="709" w:gutter="0"/>
      <w:pgBorders w:offsetFrom="page">
        <w:top w:val="single" w:color="FFFFFF" w:themeColor="background1" w:sz="4" w:space="24"/>
        <w:left w:val="single" w:color="FFFFFF" w:themeColor="background1" w:sz="4" w:space="24"/>
        <w:bottom w:val="single" w:color="FFFFFF" w:themeColor="background1" w:sz="4" w:space="24"/>
        <w:right w:val="single" w:color="FFFFFF" w:themeColor="background1" w:sz="4" w:space="24"/>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inherit">
    <w:altName w:val="Times New Roman"/>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35"/>
      </w:rPr>
    </w:pPr>
    <w:r>
      <w:rPr>
        <w:rStyle w:val="35"/>
      </w:rPr>
      <w:fldChar w:fldCharType="begin"/>
    </w:r>
    <w:r>
      <w:rPr>
        <w:rStyle w:val="35"/>
      </w:rPr>
      <w:instrText xml:space="preserve">PAGE  </w:instrText>
    </w:r>
    <w:r>
      <w:rPr>
        <w:rStyle w:val="35"/>
      </w:rPr>
      <w:fldChar w:fldCharType="separate"/>
    </w:r>
    <w:r>
      <w:rPr>
        <w:rStyle w:val="35"/>
      </w:rPr>
      <w:t>1</w:t>
    </w:r>
    <w:r>
      <w:rPr>
        <w:rStyle w:val="35"/>
      </w:rPr>
      <w:fldChar w:fldCharType="end"/>
    </w:r>
  </w:p>
  <w:p>
    <w:pPr>
      <w:pStyle w:val="21"/>
      <w:tabs>
        <w:tab w:val="left" w:pos="2552"/>
      </w:tabs>
      <w:rPr>
        <w:rFonts w:eastAsia="宋体"/>
        <w:lang w:eastAsia="zh-CN"/>
      </w:rPr>
    </w:pPr>
    <w:r>
      <w:rPr>
        <w:rFonts w:eastAsia="宋体"/>
        <w:lang w:eastAsia="zh-CN"/>
      </w:rPr>
      <w:t>R2-1905743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35"/>
      </w:rPr>
    </w:pPr>
    <w:r>
      <w:rPr>
        <w:rStyle w:val="35"/>
      </w:rPr>
      <w:fldChar w:fldCharType="begin"/>
    </w:r>
    <w:r>
      <w:rPr>
        <w:rStyle w:val="35"/>
      </w:rPr>
      <w:instrText xml:space="preserve">PAGE  </w:instrText>
    </w:r>
    <w:r>
      <w:rPr>
        <w:rStyle w:val="35"/>
      </w:rPr>
      <w:fldChar w:fldCharType="end"/>
    </w:r>
  </w:p>
  <w:p>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355C8"/>
    <w:multiLevelType w:val="multilevel"/>
    <w:tmpl w:val="03D355C8"/>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D256E9F"/>
    <w:multiLevelType w:val="multilevel"/>
    <w:tmpl w:val="0D256E9F"/>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AA46647"/>
    <w:multiLevelType w:val="multilevel"/>
    <w:tmpl w:val="3AA46647"/>
    <w:lvl w:ilvl="0" w:tentative="0">
      <w:start w:val="1"/>
      <w:numFmt w:val="decimal"/>
      <w:pStyle w:val="7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A55685D"/>
    <w:multiLevelType w:val="singleLevel"/>
    <w:tmpl w:val="4A55685D"/>
    <w:lvl w:ilvl="0" w:tentative="0">
      <w:start w:val="1"/>
      <w:numFmt w:val="bullet"/>
      <w:pStyle w:val="69"/>
      <w:lvlText w:val=""/>
      <w:lvlJc w:val="left"/>
      <w:pPr>
        <w:tabs>
          <w:tab w:val="left" w:pos="992"/>
        </w:tabs>
        <w:ind w:left="992" w:hanging="425"/>
      </w:pPr>
      <w:rPr>
        <w:rFonts w:hint="default" w:ascii="Symbol" w:hAnsi="Symbol"/>
      </w:rPr>
    </w:lvl>
  </w:abstractNum>
  <w:abstractNum w:abstractNumId="4">
    <w:nsid w:val="4BDF65F6"/>
    <w:multiLevelType w:val="multilevel"/>
    <w:tmpl w:val="4BDF65F6"/>
    <w:lvl w:ilvl="0" w:tentative="0">
      <w:start w:val="1"/>
      <w:numFmt w:val="decimal"/>
      <w:pStyle w:val="106"/>
      <w:lvlText w:val="[%1]"/>
      <w:lvlJc w:val="left"/>
      <w:pPr>
        <w:tabs>
          <w:tab w:val="left" w:pos="-142"/>
        </w:tabs>
        <w:ind w:left="-142" w:hanging="567"/>
      </w:pPr>
      <w:rPr>
        <w:rFonts w:hint="default"/>
      </w:rPr>
    </w:lvl>
    <w:lvl w:ilvl="1" w:tentative="0">
      <w:start w:val="1"/>
      <w:numFmt w:val="lowerLetter"/>
      <w:lvlText w:val="%2."/>
      <w:lvlJc w:val="left"/>
      <w:pPr>
        <w:tabs>
          <w:tab w:val="left" w:pos="731"/>
        </w:tabs>
        <w:ind w:left="731" w:hanging="360"/>
      </w:pPr>
    </w:lvl>
    <w:lvl w:ilvl="2" w:tentative="0">
      <w:start w:val="1"/>
      <w:numFmt w:val="lowerRoman"/>
      <w:lvlText w:val="%3."/>
      <w:lvlJc w:val="right"/>
      <w:pPr>
        <w:tabs>
          <w:tab w:val="left" w:pos="1451"/>
        </w:tabs>
        <w:ind w:left="1451" w:hanging="180"/>
      </w:pPr>
    </w:lvl>
    <w:lvl w:ilvl="3" w:tentative="0">
      <w:start w:val="1"/>
      <w:numFmt w:val="decimal"/>
      <w:lvlText w:val="%4."/>
      <w:lvlJc w:val="left"/>
      <w:pPr>
        <w:tabs>
          <w:tab w:val="left" w:pos="2171"/>
        </w:tabs>
        <w:ind w:left="2171" w:hanging="360"/>
      </w:pPr>
    </w:lvl>
    <w:lvl w:ilvl="4" w:tentative="0">
      <w:start w:val="1"/>
      <w:numFmt w:val="lowerLetter"/>
      <w:lvlText w:val="%5."/>
      <w:lvlJc w:val="left"/>
      <w:pPr>
        <w:tabs>
          <w:tab w:val="left" w:pos="2891"/>
        </w:tabs>
        <w:ind w:left="2891" w:hanging="360"/>
      </w:pPr>
    </w:lvl>
    <w:lvl w:ilvl="5" w:tentative="0">
      <w:start w:val="1"/>
      <w:numFmt w:val="lowerRoman"/>
      <w:lvlText w:val="%6."/>
      <w:lvlJc w:val="right"/>
      <w:pPr>
        <w:tabs>
          <w:tab w:val="left" w:pos="3611"/>
        </w:tabs>
        <w:ind w:left="3611" w:hanging="180"/>
      </w:pPr>
    </w:lvl>
    <w:lvl w:ilvl="6" w:tentative="0">
      <w:start w:val="1"/>
      <w:numFmt w:val="decimal"/>
      <w:lvlText w:val="%7."/>
      <w:lvlJc w:val="left"/>
      <w:pPr>
        <w:tabs>
          <w:tab w:val="left" w:pos="4331"/>
        </w:tabs>
        <w:ind w:left="4331" w:hanging="360"/>
      </w:pPr>
    </w:lvl>
    <w:lvl w:ilvl="7" w:tentative="0">
      <w:start w:val="1"/>
      <w:numFmt w:val="lowerLetter"/>
      <w:lvlText w:val="%8."/>
      <w:lvlJc w:val="left"/>
      <w:pPr>
        <w:tabs>
          <w:tab w:val="left" w:pos="5051"/>
        </w:tabs>
        <w:ind w:left="5051" w:hanging="360"/>
      </w:pPr>
    </w:lvl>
    <w:lvl w:ilvl="8" w:tentative="0">
      <w:start w:val="1"/>
      <w:numFmt w:val="lowerRoman"/>
      <w:lvlText w:val="%9."/>
      <w:lvlJc w:val="right"/>
      <w:pPr>
        <w:tabs>
          <w:tab w:val="left" w:pos="5771"/>
        </w:tabs>
        <w:ind w:left="5771" w:hanging="180"/>
      </w:pPr>
    </w:lvl>
  </w:abstractNum>
  <w:abstractNum w:abstractNumId="5">
    <w:nsid w:val="5F1912B1"/>
    <w:multiLevelType w:val="multilevel"/>
    <w:tmpl w:val="5F1912B1"/>
    <w:lvl w:ilvl="0" w:tentative="0">
      <w:start w:val="1"/>
      <w:numFmt w:val="bullet"/>
      <w:pStyle w:val="83"/>
      <w:lvlText w:val=""/>
      <w:lvlJc w:val="left"/>
      <w:pPr>
        <w:ind w:left="720" w:hanging="360"/>
      </w:pPr>
      <w:rPr>
        <w:rFonts w:hint="default" w:ascii="Symbol" w:hAnsi="Symbol"/>
      </w:rPr>
    </w:lvl>
    <w:lvl w:ilvl="1" w:tentative="0">
      <w:start w:val="1"/>
      <w:numFmt w:val="bullet"/>
      <w:pStyle w:val="85"/>
      <w:lvlText w:val="o"/>
      <w:lvlJc w:val="left"/>
      <w:pPr>
        <w:ind w:left="1440" w:hanging="360"/>
      </w:pPr>
      <w:rPr>
        <w:rFonts w:hint="default" w:ascii="Courier New" w:hAnsi="Courier New" w:cs="Courier New"/>
      </w:rPr>
    </w:lvl>
    <w:lvl w:ilvl="2" w:tentative="0">
      <w:start w:val="1"/>
      <w:numFmt w:val="bullet"/>
      <w:pStyle w:val="87"/>
      <w:lvlText w:val=""/>
      <w:lvlJc w:val="left"/>
      <w:pPr>
        <w:ind w:left="2160" w:hanging="360"/>
      </w:pPr>
      <w:rPr>
        <w:rFonts w:hint="default" w:ascii="Wingdings" w:hAnsi="Wingdings"/>
      </w:rPr>
    </w:lvl>
    <w:lvl w:ilvl="3" w:tentative="0">
      <w:start w:val="1"/>
      <w:numFmt w:val="bullet"/>
      <w:pStyle w:val="8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108"/>
      <w:lvlText w:val=""/>
      <w:lvlJc w:val="left"/>
      <w:pPr>
        <w:tabs>
          <w:tab w:val="left" w:pos="-9157"/>
        </w:tabs>
        <w:ind w:left="-9157" w:hanging="360"/>
      </w:pPr>
      <w:rPr>
        <w:rFonts w:hint="default" w:ascii="Symbol" w:hAnsi="Symbol"/>
        <w:b/>
        <w:i w:val="0"/>
        <w:color w:val="auto"/>
        <w:sz w:val="22"/>
        <w:lang w:val="en-US"/>
      </w:rPr>
    </w:lvl>
    <w:lvl w:ilvl="1" w:tentative="0">
      <w:start w:val="1"/>
      <w:numFmt w:val="bullet"/>
      <w:lvlText w:val="o"/>
      <w:lvlJc w:val="left"/>
      <w:pPr>
        <w:tabs>
          <w:tab w:val="left" w:pos="-9336"/>
        </w:tabs>
        <w:ind w:left="-9336" w:hanging="360"/>
      </w:pPr>
      <w:rPr>
        <w:rFonts w:hint="default" w:ascii="Courier New" w:hAnsi="Courier New" w:cs="Courier New"/>
      </w:rPr>
    </w:lvl>
    <w:lvl w:ilvl="2" w:tentative="0">
      <w:start w:val="1"/>
      <w:numFmt w:val="bullet"/>
      <w:lvlText w:val=""/>
      <w:lvlJc w:val="left"/>
      <w:pPr>
        <w:tabs>
          <w:tab w:val="left" w:pos="-8616"/>
        </w:tabs>
        <w:ind w:left="-8616" w:hanging="360"/>
      </w:pPr>
      <w:rPr>
        <w:rFonts w:hint="default" w:ascii="Wingdings" w:hAnsi="Wingdings"/>
      </w:rPr>
    </w:lvl>
    <w:lvl w:ilvl="3" w:tentative="0">
      <w:start w:val="1"/>
      <w:numFmt w:val="bullet"/>
      <w:lvlText w:val=""/>
      <w:lvlJc w:val="left"/>
      <w:pPr>
        <w:tabs>
          <w:tab w:val="left" w:pos="-7896"/>
        </w:tabs>
        <w:ind w:left="-7896" w:hanging="360"/>
      </w:pPr>
      <w:rPr>
        <w:rFonts w:hint="default" w:ascii="Symbol" w:hAnsi="Symbol"/>
      </w:rPr>
    </w:lvl>
    <w:lvl w:ilvl="4" w:tentative="0">
      <w:start w:val="1"/>
      <w:numFmt w:val="bullet"/>
      <w:lvlText w:val="o"/>
      <w:lvlJc w:val="left"/>
      <w:pPr>
        <w:tabs>
          <w:tab w:val="left" w:pos="-7176"/>
        </w:tabs>
        <w:ind w:left="-7176" w:hanging="360"/>
      </w:pPr>
      <w:rPr>
        <w:rFonts w:hint="default" w:ascii="Courier New" w:hAnsi="Courier New" w:cs="Courier New"/>
      </w:rPr>
    </w:lvl>
    <w:lvl w:ilvl="5" w:tentative="0">
      <w:start w:val="1"/>
      <w:numFmt w:val="bullet"/>
      <w:lvlText w:val=""/>
      <w:lvlJc w:val="left"/>
      <w:pPr>
        <w:tabs>
          <w:tab w:val="left" w:pos="-6456"/>
        </w:tabs>
        <w:ind w:left="-6456" w:hanging="360"/>
      </w:pPr>
      <w:rPr>
        <w:rFonts w:hint="default" w:ascii="Wingdings" w:hAnsi="Wingdings"/>
      </w:rPr>
    </w:lvl>
    <w:lvl w:ilvl="6" w:tentative="0">
      <w:start w:val="1"/>
      <w:numFmt w:val="bullet"/>
      <w:lvlText w:val=""/>
      <w:lvlJc w:val="left"/>
      <w:pPr>
        <w:tabs>
          <w:tab w:val="left" w:pos="-5736"/>
        </w:tabs>
        <w:ind w:left="-5736" w:hanging="360"/>
      </w:pPr>
      <w:rPr>
        <w:rFonts w:hint="default" w:ascii="Symbol" w:hAnsi="Symbol"/>
      </w:rPr>
    </w:lvl>
    <w:lvl w:ilvl="7" w:tentative="0">
      <w:start w:val="1"/>
      <w:numFmt w:val="bullet"/>
      <w:lvlText w:val="o"/>
      <w:lvlJc w:val="left"/>
      <w:pPr>
        <w:tabs>
          <w:tab w:val="left" w:pos="-5016"/>
        </w:tabs>
        <w:ind w:left="-5016" w:hanging="360"/>
      </w:pPr>
      <w:rPr>
        <w:rFonts w:hint="default" w:ascii="Courier New" w:hAnsi="Courier New" w:cs="Courier New"/>
      </w:rPr>
    </w:lvl>
    <w:lvl w:ilvl="8" w:tentative="0">
      <w:start w:val="1"/>
      <w:numFmt w:val="bullet"/>
      <w:lvlText w:val=""/>
      <w:lvlJc w:val="left"/>
      <w:pPr>
        <w:tabs>
          <w:tab w:val="left" w:pos="-4296"/>
        </w:tabs>
        <w:ind w:left="-4296" w:hanging="360"/>
      </w:pPr>
      <w:rPr>
        <w:rFonts w:hint="default" w:ascii="Wingdings" w:hAnsi="Wingdings"/>
      </w:rPr>
    </w:lvl>
  </w:abstractNum>
  <w:abstractNum w:abstractNumId="7">
    <w:nsid w:val="736D6E2A"/>
    <w:multiLevelType w:val="multilevel"/>
    <w:tmpl w:val="736D6E2A"/>
    <w:lvl w:ilvl="0" w:tentative="0">
      <w:start w:val="1"/>
      <w:numFmt w:val="decimal"/>
      <w:pStyle w:val="1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BC330F5"/>
    <w:multiLevelType w:val="multilevel"/>
    <w:tmpl w:val="7BC330F5"/>
    <w:lvl w:ilvl="0" w:tentative="0">
      <w:start w:val="1"/>
      <w:numFmt w:val="bullet"/>
      <w:pStyle w:val="101"/>
      <w:lvlText w:val=""/>
      <w:lvlJc w:val="left"/>
      <w:pPr>
        <w:tabs>
          <w:tab w:val="left" w:pos="851"/>
        </w:tabs>
        <w:ind w:left="851" w:hanging="851"/>
      </w:pPr>
      <w:rPr>
        <w:rFonts w:hint="default" w:ascii="Calibri Light" w:hAnsi="Calibri Light"/>
        <w:b/>
        <w:i w:val="0"/>
        <w:color w:val="70CEF5"/>
        <w:sz w:val="20"/>
        <w:szCs w:val="20"/>
      </w:rPr>
    </w:lvl>
    <w:lvl w:ilvl="1" w:tentative="0">
      <w:start w:val="1"/>
      <w:numFmt w:val="bullet"/>
      <w:lvlText w:val="o"/>
      <w:lvlJc w:val="left"/>
      <w:pPr>
        <w:tabs>
          <w:tab w:val="left" w:pos="1440"/>
        </w:tabs>
        <w:ind w:left="1440" w:hanging="360"/>
      </w:pPr>
      <w:rPr>
        <w:rFonts w:hint="default" w:ascii="inherit" w:hAnsi="inherit" w:cs="inherit"/>
      </w:rPr>
    </w:lvl>
    <w:lvl w:ilvl="2" w:tentative="0">
      <w:start w:val="1"/>
      <w:numFmt w:val="bullet"/>
      <w:lvlText w:val=""/>
      <w:lvlJc w:val="left"/>
      <w:pPr>
        <w:tabs>
          <w:tab w:val="left" w:pos="2160"/>
        </w:tabs>
        <w:ind w:left="2160" w:hanging="360"/>
      </w:pPr>
      <w:rPr>
        <w:rFonts w:hint="default" w:ascii="inherit" w:hAnsi="inherit"/>
      </w:rPr>
    </w:lvl>
    <w:lvl w:ilvl="3" w:tentative="0">
      <w:start w:val="1"/>
      <w:numFmt w:val="bullet"/>
      <w:lvlText w:val=""/>
      <w:lvlJc w:val="left"/>
      <w:pPr>
        <w:tabs>
          <w:tab w:val="left" w:pos="2880"/>
        </w:tabs>
        <w:ind w:left="2880" w:hanging="360"/>
      </w:pPr>
      <w:rPr>
        <w:rFonts w:hint="default" w:ascii="Calibri Light" w:hAnsi="Calibri Light"/>
      </w:rPr>
    </w:lvl>
    <w:lvl w:ilvl="4" w:tentative="0">
      <w:start w:val="1"/>
      <w:numFmt w:val="bullet"/>
      <w:lvlText w:val="o"/>
      <w:lvlJc w:val="left"/>
      <w:pPr>
        <w:tabs>
          <w:tab w:val="left" w:pos="3600"/>
        </w:tabs>
        <w:ind w:left="3600" w:hanging="360"/>
      </w:pPr>
      <w:rPr>
        <w:rFonts w:hint="default" w:ascii="inherit" w:hAnsi="inherit" w:cs="inherit"/>
      </w:rPr>
    </w:lvl>
    <w:lvl w:ilvl="5" w:tentative="0">
      <w:start w:val="1"/>
      <w:numFmt w:val="bullet"/>
      <w:lvlText w:val=""/>
      <w:lvlJc w:val="left"/>
      <w:pPr>
        <w:tabs>
          <w:tab w:val="left" w:pos="4320"/>
        </w:tabs>
        <w:ind w:left="4320" w:hanging="360"/>
      </w:pPr>
      <w:rPr>
        <w:rFonts w:hint="default" w:ascii="inherit" w:hAnsi="inherit"/>
      </w:rPr>
    </w:lvl>
    <w:lvl w:ilvl="6" w:tentative="0">
      <w:start w:val="1"/>
      <w:numFmt w:val="bullet"/>
      <w:lvlText w:val=""/>
      <w:lvlJc w:val="left"/>
      <w:pPr>
        <w:tabs>
          <w:tab w:val="left" w:pos="5040"/>
        </w:tabs>
        <w:ind w:left="5040" w:hanging="360"/>
      </w:pPr>
      <w:rPr>
        <w:rFonts w:hint="default" w:ascii="Calibri Light" w:hAnsi="Calibri Light"/>
      </w:rPr>
    </w:lvl>
    <w:lvl w:ilvl="7" w:tentative="0">
      <w:start w:val="1"/>
      <w:numFmt w:val="bullet"/>
      <w:lvlText w:val="o"/>
      <w:lvlJc w:val="left"/>
      <w:pPr>
        <w:tabs>
          <w:tab w:val="left" w:pos="5760"/>
        </w:tabs>
        <w:ind w:left="5760" w:hanging="360"/>
      </w:pPr>
      <w:rPr>
        <w:rFonts w:hint="default" w:ascii="inherit" w:hAnsi="inherit" w:cs="inherit"/>
      </w:rPr>
    </w:lvl>
    <w:lvl w:ilvl="8" w:tentative="0">
      <w:start w:val="1"/>
      <w:numFmt w:val="bullet"/>
      <w:lvlText w:val=""/>
      <w:lvlJc w:val="left"/>
      <w:pPr>
        <w:tabs>
          <w:tab w:val="left" w:pos="6480"/>
        </w:tabs>
        <w:ind w:left="6480" w:hanging="360"/>
      </w:pPr>
      <w:rPr>
        <w:rFonts w:hint="default" w:ascii="inherit" w:hAnsi="inherit"/>
      </w:rPr>
    </w:lvl>
  </w:abstractNum>
  <w:abstractNum w:abstractNumId="9">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1374"/>
        </w:tabs>
        <w:ind w:left="-1374" w:hanging="567"/>
      </w:pPr>
      <w:rPr>
        <w:rFonts w:hint="default"/>
        <w:u w:val="none"/>
      </w:rPr>
    </w:lvl>
    <w:lvl w:ilvl="2" w:tentative="0">
      <w:start w:val="1"/>
      <w:numFmt w:val="decimal"/>
      <w:pStyle w:val="5"/>
      <w:lvlText w:val="%1.%2.%3"/>
      <w:lvlJc w:val="left"/>
      <w:pPr>
        <w:tabs>
          <w:tab w:val="left" w:pos="-6068"/>
        </w:tabs>
        <w:ind w:left="-3517" w:hanging="1304"/>
      </w:pPr>
      <w:rPr>
        <w:rFonts w:hint="default"/>
        <w:sz w:val="20"/>
        <w:szCs w:val="20"/>
        <w:u w:val="none"/>
      </w:rPr>
    </w:lvl>
    <w:lvl w:ilvl="3" w:tentative="0">
      <w:start w:val="1"/>
      <w:numFmt w:val="decimal"/>
      <w:pStyle w:val="6"/>
      <w:lvlText w:val="%1.%2.%3.%4"/>
      <w:lvlJc w:val="left"/>
      <w:pPr>
        <w:tabs>
          <w:tab w:val="left" w:pos="-6068"/>
        </w:tabs>
        <w:ind w:left="-3517" w:hanging="1304"/>
      </w:pPr>
      <w:rPr>
        <w:rFonts w:hint="default"/>
        <w:u w:val="none"/>
      </w:rPr>
    </w:lvl>
    <w:lvl w:ilvl="4" w:tentative="0">
      <w:start w:val="1"/>
      <w:numFmt w:val="decimal"/>
      <w:lvlText w:val="%1.%2.%3.%4.%5"/>
      <w:lvlJc w:val="left"/>
      <w:pPr>
        <w:tabs>
          <w:tab w:val="left" w:pos="-6068"/>
        </w:tabs>
        <w:ind w:left="-6068" w:firstLine="0"/>
      </w:pPr>
      <w:rPr>
        <w:rFonts w:hint="default"/>
      </w:rPr>
    </w:lvl>
    <w:lvl w:ilvl="5" w:tentative="0">
      <w:start w:val="1"/>
      <w:numFmt w:val="decimal"/>
      <w:lvlText w:val="%1.%2.%3.%4.%5.%6"/>
      <w:lvlJc w:val="left"/>
      <w:pPr>
        <w:tabs>
          <w:tab w:val="left" w:pos="-6068"/>
        </w:tabs>
        <w:ind w:left="-6068" w:firstLine="0"/>
      </w:pPr>
      <w:rPr>
        <w:rFonts w:hint="default"/>
      </w:rPr>
    </w:lvl>
    <w:lvl w:ilvl="6" w:tentative="0">
      <w:start w:val="1"/>
      <w:numFmt w:val="decimal"/>
      <w:lvlText w:val="%1.%2.%3.%4.%5.%6.%7"/>
      <w:lvlJc w:val="left"/>
      <w:pPr>
        <w:tabs>
          <w:tab w:val="left" w:pos="-6068"/>
        </w:tabs>
        <w:ind w:left="-6068" w:firstLine="0"/>
      </w:pPr>
      <w:rPr>
        <w:rFonts w:hint="default"/>
      </w:rPr>
    </w:lvl>
    <w:lvl w:ilvl="7" w:tentative="0">
      <w:start w:val="1"/>
      <w:numFmt w:val="decimal"/>
      <w:lvlText w:val="%1.%2.%3.%4.%5.%6.%7.%8"/>
      <w:lvlJc w:val="left"/>
      <w:pPr>
        <w:tabs>
          <w:tab w:val="left" w:pos="-6068"/>
        </w:tabs>
        <w:ind w:left="-6068" w:firstLine="0"/>
      </w:pPr>
      <w:rPr>
        <w:rFonts w:hint="default"/>
      </w:rPr>
    </w:lvl>
    <w:lvl w:ilvl="8" w:tentative="0">
      <w:start w:val="1"/>
      <w:numFmt w:val="decimal"/>
      <w:lvlText w:val="%1.%2.%3.%4.%5.%6.%7.%8.%9"/>
      <w:lvlJc w:val="left"/>
      <w:pPr>
        <w:tabs>
          <w:tab w:val="left" w:pos="-6068"/>
        </w:tabs>
        <w:ind w:left="-6068" w:firstLine="0"/>
      </w:pPr>
      <w:rPr>
        <w:rFonts w:hint="default"/>
      </w:rPr>
    </w:lvl>
  </w:abstractNum>
  <w:abstractNum w:abstractNumId="10">
    <w:nsid w:val="7F547DFD"/>
    <w:multiLevelType w:val="singleLevel"/>
    <w:tmpl w:val="7F547DFD"/>
    <w:lvl w:ilvl="0" w:tentative="0">
      <w:start w:val="1"/>
      <w:numFmt w:val="bullet"/>
      <w:pStyle w:val="75"/>
      <w:lvlText w:val=""/>
      <w:lvlJc w:val="left"/>
      <w:pPr>
        <w:tabs>
          <w:tab w:val="left" w:pos="1418"/>
        </w:tabs>
        <w:ind w:left="1418" w:hanging="426"/>
      </w:pPr>
      <w:rPr>
        <w:rFonts w:hint="default" w:ascii="Wingdings" w:hAnsi="Wingdings"/>
      </w:rPr>
    </w:lvl>
  </w:abstractNum>
  <w:num w:numId="1">
    <w:abstractNumId w:val="9"/>
  </w:num>
  <w:num w:numId="2">
    <w:abstractNumId w:val="7"/>
  </w:num>
  <w:num w:numId="3">
    <w:abstractNumId w:val="3"/>
  </w:num>
  <w:num w:numId="4">
    <w:abstractNumId w:val="2"/>
  </w:num>
  <w:num w:numId="5">
    <w:abstractNumId w:val="10"/>
  </w:num>
  <w:num w:numId="6">
    <w:abstractNumId w:val="5"/>
  </w:num>
  <w:num w:numId="7">
    <w:abstractNumId w:val="8"/>
  </w:num>
  <w:num w:numId="8">
    <w:abstractNumId w:val="4"/>
  </w:num>
  <w:num w:numId="9">
    <w:abstractNumId w:val="6"/>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2"/>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49"/>
    <w:rsid w:val="000008FC"/>
    <w:rsid w:val="00000A10"/>
    <w:rsid w:val="00000EB2"/>
    <w:rsid w:val="00000EDC"/>
    <w:rsid w:val="000014F4"/>
    <w:rsid w:val="00001C9F"/>
    <w:rsid w:val="0000202E"/>
    <w:rsid w:val="00002FDB"/>
    <w:rsid w:val="00003165"/>
    <w:rsid w:val="00003BD4"/>
    <w:rsid w:val="00003EA4"/>
    <w:rsid w:val="00003EF6"/>
    <w:rsid w:val="00006229"/>
    <w:rsid w:val="000062D6"/>
    <w:rsid w:val="00010728"/>
    <w:rsid w:val="00010B3F"/>
    <w:rsid w:val="00010C87"/>
    <w:rsid w:val="000116A5"/>
    <w:rsid w:val="00012F65"/>
    <w:rsid w:val="000135B7"/>
    <w:rsid w:val="00013A2D"/>
    <w:rsid w:val="00013BAC"/>
    <w:rsid w:val="00014033"/>
    <w:rsid w:val="0001438C"/>
    <w:rsid w:val="0001483C"/>
    <w:rsid w:val="000155D8"/>
    <w:rsid w:val="00016AC6"/>
    <w:rsid w:val="00016CFA"/>
    <w:rsid w:val="00016D97"/>
    <w:rsid w:val="00016FE1"/>
    <w:rsid w:val="00017390"/>
    <w:rsid w:val="0001742C"/>
    <w:rsid w:val="0001751E"/>
    <w:rsid w:val="00020773"/>
    <w:rsid w:val="0002102E"/>
    <w:rsid w:val="0002139B"/>
    <w:rsid w:val="0002195F"/>
    <w:rsid w:val="00022738"/>
    <w:rsid w:val="00022FB2"/>
    <w:rsid w:val="000238FF"/>
    <w:rsid w:val="000261DF"/>
    <w:rsid w:val="000264C6"/>
    <w:rsid w:val="0002652B"/>
    <w:rsid w:val="0002665B"/>
    <w:rsid w:val="00026A53"/>
    <w:rsid w:val="000270B4"/>
    <w:rsid w:val="00027331"/>
    <w:rsid w:val="00027C22"/>
    <w:rsid w:val="00030588"/>
    <w:rsid w:val="00031265"/>
    <w:rsid w:val="000316E5"/>
    <w:rsid w:val="00031715"/>
    <w:rsid w:val="000325C4"/>
    <w:rsid w:val="00033094"/>
    <w:rsid w:val="00034619"/>
    <w:rsid w:val="00034856"/>
    <w:rsid w:val="00036189"/>
    <w:rsid w:val="00036927"/>
    <w:rsid w:val="00036A14"/>
    <w:rsid w:val="00036C3A"/>
    <w:rsid w:val="0003738C"/>
    <w:rsid w:val="00037830"/>
    <w:rsid w:val="000412AF"/>
    <w:rsid w:val="000415CD"/>
    <w:rsid w:val="000417EB"/>
    <w:rsid w:val="00041B50"/>
    <w:rsid w:val="0004357F"/>
    <w:rsid w:val="00043CA2"/>
    <w:rsid w:val="0004423B"/>
    <w:rsid w:val="000443DE"/>
    <w:rsid w:val="00044D32"/>
    <w:rsid w:val="000460EF"/>
    <w:rsid w:val="000466C6"/>
    <w:rsid w:val="00046D4B"/>
    <w:rsid w:val="00050783"/>
    <w:rsid w:val="00050AC1"/>
    <w:rsid w:val="0005101E"/>
    <w:rsid w:val="0005123C"/>
    <w:rsid w:val="0005137D"/>
    <w:rsid w:val="000518C1"/>
    <w:rsid w:val="00051E89"/>
    <w:rsid w:val="00052902"/>
    <w:rsid w:val="00052BC9"/>
    <w:rsid w:val="00054FB6"/>
    <w:rsid w:val="00055E49"/>
    <w:rsid w:val="000575A9"/>
    <w:rsid w:val="00057B7E"/>
    <w:rsid w:val="000604B1"/>
    <w:rsid w:val="00060DF6"/>
    <w:rsid w:val="00061930"/>
    <w:rsid w:val="00062531"/>
    <w:rsid w:val="0006264B"/>
    <w:rsid w:val="0006288F"/>
    <w:rsid w:val="00062933"/>
    <w:rsid w:val="00062FC2"/>
    <w:rsid w:val="00064119"/>
    <w:rsid w:val="00064769"/>
    <w:rsid w:val="00064EA4"/>
    <w:rsid w:val="0006550A"/>
    <w:rsid w:val="00065A35"/>
    <w:rsid w:val="00065DB1"/>
    <w:rsid w:val="00066A60"/>
    <w:rsid w:val="00066F58"/>
    <w:rsid w:val="000672B9"/>
    <w:rsid w:val="000673E5"/>
    <w:rsid w:val="000706B4"/>
    <w:rsid w:val="00072CED"/>
    <w:rsid w:val="000731F9"/>
    <w:rsid w:val="00073665"/>
    <w:rsid w:val="000738D9"/>
    <w:rsid w:val="00073B72"/>
    <w:rsid w:val="00073E18"/>
    <w:rsid w:val="00074227"/>
    <w:rsid w:val="000749EF"/>
    <w:rsid w:val="00075482"/>
    <w:rsid w:val="00075D35"/>
    <w:rsid w:val="00076E3A"/>
    <w:rsid w:val="00077DE6"/>
    <w:rsid w:val="00077F50"/>
    <w:rsid w:val="0008011C"/>
    <w:rsid w:val="000805B5"/>
    <w:rsid w:val="00080B96"/>
    <w:rsid w:val="00081065"/>
    <w:rsid w:val="000814E3"/>
    <w:rsid w:val="00081558"/>
    <w:rsid w:val="000822A7"/>
    <w:rsid w:val="000825A6"/>
    <w:rsid w:val="00082960"/>
    <w:rsid w:val="00083725"/>
    <w:rsid w:val="00083BC8"/>
    <w:rsid w:val="000840AF"/>
    <w:rsid w:val="00084510"/>
    <w:rsid w:val="0008490A"/>
    <w:rsid w:val="00085047"/>
    <w:rsid w:val="00086209"/>
    <w:rsid w:val="0008685F"/>
    <w:rsid w:val="00086EB4"/>
    <w:rsid w:val="00087E9C"/>
    <w:rsid w:val="00090158"/>
    <w:rsid w:val="000906C2"/>
    <w:rsid w:val="000909F5"/>
    <w:rsid w:val="00090D78"/>
    <w:rsid w:val="00091E1D"/>
    <w:rsid w:val="000927C7"/>
    <w:rsid w:val="000929E9"/>
    <w:rsid w:val="00092DD7"/>
    <w:rsid w:val="000931F4"/>
    <w:rsid w:val="00093E9F"/>
    <w:rsid w:val="00095085"/>
    <w:rsid w:val="00096BC9"/>
    <w:rsid w:val="00097266"/>
    <w:rsid w:val="000A078C"/>
    <w:rsid w:val="000A0BC0"/>
    <w:rsid w:val="000A14E3"/>
    <w:rsid w:val="000A1E95"/>
    <w:rsid w:val="000A236A"/>
    <w:rsid w:val="000A380C"/>
    <w:rsid w:val="000A488F"/>
    <w:rsid w:val="000A4A9E"/>
    <w:rsid w:val="000A55B8"/>
    <w:rsid w:val="000A5653"/>
    <w:rsid w:val="000A642B"/>
    <w:rsid w:val="000A66C4"/>
    <w:rsid w:val="000B0B79"/>
    <w:rsid w:val="000B0C8C"/>
    <w:rsid w:val="000B1CBE"/>
    <w:rsid w:val="000B2217"/>
    <w:rsid w:val="000B3216"/>
    <w:rsid w:val="000B5419"/>
    <w:rsid w:val="000B5638"/>
    <w:rsid w:val="000B66A6"/>
    <w:rsid w:val="000B6914"/>
    <w:rsid w:val="000B7123"/>
    <w:rsid w:val="000B7CE0"/>
    <w:rsid w:val="000C0433"/>
    <w:rsid w:val="000C06E1"/>
    <w:rsid w:val="000C0B37"/>
    <w:rsid w:val="000C21E2"/>
    <w:rsid w:val="000C2908"/>
    <w:rsid w:val="000C3118"/>
    <w:rsid w:val="000C34D6"/>
    <w:rsid w:val="000C4369"/>
    <w:rsid w:val="000C48A7"/>
    <w:rsid w:val="000C4A0A"/>
    <w:rsid w:val="000C4F01"/>
    <w:rsid w:val="000C4FB4"/>
    <w:rsid w:val="000C52D6"/>
    <w:rsid w:val="000C53A4"/>
    <w:rsid w:val="000C6154"/>
    <w:rsid w:val="000C66EF"/>
    <w:rsid w:val="000C74A5"/>
    <w:rsid w:val="000D041A"/>
    <w:rsid w:val="000D2341"/>
    <w:rsid w:val="000D2630"/>
    <w:rsid w:val="000D275B"/>
    <w:rsid w:val="000D2FA3"/>
    <w:rsid w:val="000D3D5C"/>
    <w:rsid w:val="000D427B"/>
    <w:rsid w:val="000D450A"/>
    <w:rsid w:val="000D4ABD"/>
    <w:rsid w:val="000D4E1E"/>
    <w:rsid w:val="000D5C4A"/>
    <w:rsid w:val="000D64DD"/>
    <w:rsid w:val="000D746F"/>
    <w:rsid w:val="000D78A4"/>
    <w:rsid w:val="000E063A"/>
    <w:rsid w:val="000E0818"/>
    <w:rsid w:val="000E130E"/>
    <w:rsid w:val="000E2CF4"/>
    <w:rsid w:val="000E3AE2"/>
    <w:rsid w:val="000E50B7"/>
    <w:rsid w:val="000E557C"/>
    <w:rsid w:val="000E61FD"/>
    <w:rsid w:val="000E6CA0"/>
    <w:rsid w:val="000F1710"/>
    <w:rsid w:val="000F1939"/>
    <w:rsid w:val="000F1CB0"/>
    <w:rsid w:val="000F2438"/>
    <w:rsid w:val="000F26CF"/>
    <w:rsid w:val="000F326B"/>
    <w:rsid w:val="000F3414"/>
    <w:rsid w:val="000F3789"/>
    <w:rsid w:val="000F3D9B"/>
    <w:rsid w:val="000F4093"/>
    <w:rsid w:val="000F495B"/>
    <w:rsid w:val="000F4A5C"/>
    <w:rsid w:val="000F4CDE"/>
    <w:rsid w:val="000F5299"/>
    <w:rsid w:val="000F5375"/>
    <w:rsid w:val="000F5484"/>
    <w:rsid w:val="000F54CB"/>
    <w:rsid w:val="000F68BE"/>
    <w:rsid w:val="000F6B0D"/>
    <w:rsid w:val="000F6FF6"/>
    <w:rsid w:val="000F79E5"/>
    <w:rsid w:val="000F7F6A"/>
    <w:rsid w:val="00100319"/>
    <w:rsid w:val="00100607"/>
    <w:rsid w:val="00100BBD"/>
    <w:rsid w:val="0010121B"/>
    <w:rsid w:val="001013CF"/>
    <w:rsid w:val="001017A3"/>
    <w:rsid w:val="001020EC"/>
    <w:rsid w:val="001022DB"/>
    <w:rsid w:val="001032E8"/>
    <w:rsid w:val="001034FB"/>
    <w:rsid w:val="00103918"/>
    <w:rsid w:val="00103DD7"/>
    <w:rsid w:val="001042BF"/>
    <w:rsid w:val="0010479A"/>
    <w:rsid w:val="0010549D"/>
    <w:rsid w:val="001054CD"/>
    <w:rsid w:val="00105570"/>
    <w:rsid w:val="00105CD2"/>
    <w:rsid w:val="00105D23"/>
    <w:rsid w:val="00106474"/>
    <w:rsid w:val="0010727F"/>
    <w:rsid w:val="00107364"/>
    <w:rsid w:val="0010757E"/>
    <w:rsid w:val="00107F1D"/>
    <w:rsid w:val="001102F6"/>
    <w:rsid w:val="00111A44"/>
    <w:rsid w:val="0011217E"/>
    <w:rsid w:val="00112C0B"/>
    <w:rsid w:val="00113A32"/>
    <w:rsid w:val="00114239"/>
    <w:rsid w:val="0011474F"/>
    <w:rsid w:val="00114951"/>
    <w:rsid w:val="00114C0D"/>
    <w:rsid w:val="001156FC"/>
    <w:rsid w:val="00115CE3"/>
    <w:rsid w:val="00116625"/>
    <w:rsid w:val="00116645"/>
    <w:rsid w:val="00116886"/>
    <w:rsid w:val="00116F48"/>
    <w:rsid w:val="001171E5"/>
    <w:rsid w:val="001177B5"/>
    <w:rsid w:val="00120363"/>
    <w:rsid w:val="00120CA6"/>
    <w:rsid w:val="0012112D"/>
    <w:rsid w:val="0012163A"/>
    <w:rsid w:val="00121A39"/>
    <w:rsid w:val="00121ECC"/>
    <w:rsid w:val="00122435"/>
    <w:rsid w:val="00123387"/>
    <w:rsid w:val="001234DE"/>
    <w:rsid w:val="00123F38"/>
    <w:rsid w:val="001245FD"/>
    <w:rsid w:val="00125002"/>
    <w:rsid w:val="001263C0"/>
    <w:rsid w:val="001265B3"/>
    <w:rsid w:val="001267F9"/>
    <w:rsid w:val="00126B90"/>
    <w:rsid w:val="001300EB"/>
    <w:rsid w:val="001307F4"/>
    <w:rsid w:val="001318F6"/>
    <w:rsid w:val="00131C3F"/>
    <w:rsid w:val="0013215E"/>
    <w:rsid w:val="00132C99"/>
    <w:rsid w:val="00133013"/>
    <w:rsid w:val="0013363D"/>
    <w:rsid w:val="00136678"/>
    <w:rsid w:val="001371FD"/>
    <w:rsid w:val="00137349"/>
    <w:rsid w:val="001378A7"/>
    <w:rsid w:val="00137A41"/>
    <w:rsid w:val="001405BF"/>
    <w:rsid w:val="001407A4"/>
    <w:rsid w:val="0014082B"/>
    <w:rsid w:val="0014085A"/>
    <w:rsid w:val="00141C77"/>
    <w:rsid w:val="001426D0"/>
    <w:rsid w:val="00142B70"/>
    <w:rsid w:val="00142FE3"/>
    <w:rsid w:val="00142FFF"/>
    <w:rsid w:val="00143506"/>
    <w:rsid w:val="001435AA"/>
    <w:rsid w:val="00143AAA"/>
    <w:rsid w:val="00143E64"/>
    <w:rsid w:val="001440FC"/>
    <w:rsid w:val="00144C16"/>
    <w:rsid w:val="0014512D"/>
    <w:rsid w:val="001453CA"/>
    <w:rsid w:val="00146442"/>
    <w:rsid w:val="001469E3"/>
    <w:rsid w:val="00147738"/>
    <w:rsid w:val="00147918"/>
    <w:rsid w:val="001503F7"/>
    <w:rsid w:val="00150715"/>
    <w:rsid w:val="001509C6"/>
    <w:rsid w:val="00150EBC"/>
    <w:rsid w:val="001514B4"/>
    <w:rsid w:val="00152604"/>
    <w:rsid w:val="00153D16"/>
    <w:rsid w:val="00154727"/>
    <w:rsid w:val="001549F5"/>
    <w:rsid w:val="00155D4F"/>
    <w:rsid w:val="001567A2"/>
    <w:rsid w:val="00157310"/>
    <w:rsid w:val="00157C75"/>
    <w:rsid w:val="00160047"/>
    <w:rsid w:val="00160562"/>
    <w:rsid w:val="001605FD"/>
    <w:rsid w:val="001606C2"/>
    <w:rsid w:val="00160A29"/>
    <w:rsid w:val="00160DB1"/>
    <w:rsid w:val="00161394"/>
    <w:rsid w:val="001632A1"/>
    <w:rsid w:val="00164894"/>
    <w:rsid w:val="00164943"/>
    <w:rsid w:val="001655F2"/>
    <w:rsid w:val="00165B2B"/>
    <w:rsid w:val="0016686F"/>
    <w:rsid w:val="001676F9"/>
    <w:rsid w:val="00167D10"/>
    <w:rsid w:val="00170176"/>
    <w:rsid w:val="0017068B"/>
    <w:rsid w:val="00170FFA"/>
    <w:rsid w:val="0017106B"/>
    <w:rsid w:val="00171B8D"/>
    <w:rsid w:val="00171E5B"/>
    <w:rsid w:val="001726A5"/>
    <w:rsid w:val="00172B7F"/>
    <w:rsid w:val="00172CA2"/>
    <w:rsid w:val="00173264"/>
    <w:rsid w:val="0017488C"/>
    <w:rsid w:val="00174982"/>
    <w:rsid w:val="00175355"/>
    <w:rsid w:val="001770AC"/>
    <w:rsid w:val="001770AD"/>
    <w:rsid w:val="00177516"/>
    <w:rsid w:val="001777AA"/>
    <w:rsid w:val="00177D25"/>
    <w:rsid w:val="001815D5"/>
    <w:rsid w:val="00182075"/>
    <w:rsid w:val="001822DB"/>
    <w:rsid w:val="001824D3"/>
    <w:rsid w:val="0018252A"/>
    <w:rsid w:val="001826BA"/>
    <w:rsid w:val="00182B0F"/>
    <w:rsid w:val="00182D9E"/>
    <w:rsid w:val="00183B67"/>
    <w:rsid w:val="00185F3A"/>
    <w:rsid w:val="00186372"/>
    <w:rsid w:val="00186741"/>
    <w:rsid w:val="0018753B"/>
    <w:rsid w:val="00187565"/>
    <w:rsid w:val="00187689"/>
    <w:rsid w:val="00187E81"/>
    <w:rsid w:val="001906FF"/>
    <w:rsid w:val="001907DE"/>
    <w:rsid w:val="001910C3"/>
    <w:rsid w:val="001914D0"/>
    <w:rsid w:val="001930EF"/>
    <w:rsid w:val="00193206"/>
    <w:rsid w:val="00194732"/>
    <w:rsid w:val="00195B96"/>
    <w:rsid w:val="001964C5"/>
    <w:rsid w:val="001966C5"/>
    <w:rsid w:val="001967FD"/>
    <w:rsid w:val="001969C4"/>
    <w:rsid w:val="0019768A"/>
    <w:rsid w:val="001A08B0"/>
    <w:rsid w:val="001A3832"/>
    <w:rsid w:val="001A3F69"/>
    <w:rsid w:val="001A40E4"/>
    <w:rsid w:val="001A491A"/>
    <w:rsid w:val="001A7CF7"/>
    <w:rsid w:val="001B0F0C"/>
    <w:rsid w:val="001B18AA"/>
    <w:rsid w:val="001B220B"/>
    <w:rsid w:val="001B2FCB"/>
    <w:rsid w:val="001B3374"/>
    <w:rsid w:val="001B352F"/>
    <w:rsid w:val="001B3C20"/>
    <w:rsid w:val="001B4A91"/>
    <w:rsid w:val="001B4AE5"/>
    <w:rsid w:val="001B5E0B"/>
    <w:rsid w:val="001B5EAE"/>
    <w:rsid w:val="001B689A"/>
    <w:rsid w:val="001B6C4A"/>
    <w:rsid w:val="001B7232"/>
    <w:rsid w:val="001B768C"/>
    <w:rsid w:val="001C18D0"/>
    <w:rsid w:val="001C229F"/>
    <w:rsid w:val="001C2710"/>
    <w:rsid w:val="001C29A5"/>
    <w:rsid w:val="001C2C3F"/>
    <w:rsid w:val="001C35C1"/>
    <w:rsid w:val="001C35CF"/>
    <w:rsid w:val="001C3652"/>
    <w:rsid w:val="001C3AFA"/>
    <w:rsid w:val="001C44B9"/>
    <w:rsid w:val="001C4E7E"/>
    <w:rsid w:val="001C503C"/>
    <w:rsid w:val="001C50FC"/>
    <w:rsid w:val="001C5A04"/>
    <w:rsid w:val="001C5D4D"/>
    <w:rsid w:val="001D01DD"/>
    <w:rsid w:val="001D118A"/>
    <w:rsid w:val="001D20D5"/>
    <w:rsid w:val="001D2120"/>
    <w:rsid w:val="001D24A8"/>
    <w:rsid w:val="001D39E0"/>
    <w:rsid w:val="001D3C04"/>
    <w:rsid w:val="001D3C3E"/>
    <w:rsid w:val="001D3D93"/>
    <w:rsid w:val="001D50DB"/>
    <w:rsid w:val="001D533D"/>
    <w:rsid w:val="001D6A13"/>
    <w:rsid w:val="001D6A3A"/>
    <w:rsid w:val="001D7163"/>
    <w:rsid w:val="001D785D"/>
    <w:rsid w:val="001D7FD0"/>
    <w:rsid w:val="001E00B5"/>
    <w:rsid w:val="001E0CF0"/>
    <w:rsid w:val="001E0DD5"/>
    <w:rsid w:val="001E1D64"/>
    <w:rsid w:val="001E2A0B"/>
    <w:rsid w:val="001E35A7"/>
    <w:rsid w:val="001E3693"/>
    <w:rsid w:val="001E3F60"/>
    <w:rsid w:val="001E44AD"/>
    <w:rsid w:val="001E463B"/>
    <w:rsid w:val="001E5D00"/>
    <w:rsid w:val="001E6E8F"/>
    <w:rsid w:val="001E7EDF"/>
    <w:rsid w:val="001F04AC"/>
    <w:rsid w:val="001F0AFF"/>
    <w:rsid w:val="001F13B3"/>
    <w:rsid w:val="001F182F"/>
    <w:rsid w:val="001F2686"/>
    <w:rsid w:val="001F3687"/>
    <w:rsid w:val="001F3A38"/>
    <w:rsid w:val="001F3B2D"/>
    <w:rsid w:val="001F474C"/>
    <w:rsid w:val="001F4751"/>
    <w:rsid w:val="001F4796"/>
    <w:rsid w:val="001F5BFC"/>
    <w:rsid w:val="001F630F"/>
    <w:rsid w:val="001F6651"/>
    <w:rsid w:val="001F66D4"/>
    <w:rsid w:val="001F695D"/>
    <w:rsid w:val="001F6BE3"/>
    <w:rsid w:val="001F6E7C"/>
    <w:rsid w:val="001F7F7A"/>
    <w:rsid w:val="00200147"/>
    <w:rsid w:val="00202DC4"/>
    <w:rsid w:val="0020399E"/>
    <w:rsid w:val="00204185"/>
    <w:rsid w:val="00204504"/>
    <w:rsid w:val="002046BA"/>
    <w:rsid w:val="002048B9"/>
    <w:rsid w:val="0020540C"/>
    <w:rsid w:val="002055F4"/>
    <w:rsid w:val="00205686"/>
    <w:rsid w:val="00205C65"/>
    <w:rsid w:val="00206CE0"/>
    <w:rsid w:val="002072C1"/>
    <w:rsid w:val="00207309"/>
    <w:rsid w:val="0020799E"/>
    <w:rsid w:val="00207B3E"/>
    <w:rsid w:val="002103D9"/>
    <w:rsid w:val="00210453"/>
    <w:rsid w:val="0021159D"/>
    <w:rsid w:val="0021259F"/>
    <w:rsid w:val="00213C81"/>
    <w:rsid w:val="002151EF"/>
    <w:rsid w:val="00215E17"/>
    <w:rsid w:val="00215E6B"/>
    <w:rsid w:val="002166C0"/>
    <w:rsid w:val="00216ACF"/>
    <w:rsid w:val="00217B3C"/>
    <w:rsid w:val="00217CB1"/>
    <w:rsid w:val="00217FB1"/>
    <w:rsid w:val="002202BE"/>
    <w:rsid w:val="002205D2"/>
    <w:rsid w:val="00220678"/>
    <w:rsid w:val="0022175D"/>
    <w:rsid w:val="00222B2F"/>
    <w:rsid w:val="00223E82"/>
    <w:rsid w:val="0022409D"/>
    <w:rsid w:val="002242FF"/>
    <w:rsid w:val="002243A8"/>
    <w:rsid w:val="00225162"/>
    <w:rsid w:val="0022527A"/>
    <w:rsid w:val="00225817"/>
    <w:rsid w:val="00225BFE"/>
    <w:rsid w:val="00225CC1"/>
    <w:rsid w:val="002270A2"/>
    <w:rsid w:val="002314BD"/>
    <w:rsid w:val="00231E3A"/>
    <w:rsid w:val="002328ED"/>
    <w:rsid w:val="00232A82"/>
    <w:rsid w:val="00233084"/>
    <w:rsid w:val="00233C8E"/>
    <w:rsid w:val="00234DB0"/>
    <w:rsid w:val="002350B0"/>
    <w:rsid w:val="00235E21"/>
    <w:rsid w:val="002362AC"/>
    <w:rsid w:val="002362FE"/>
    <w:rsid w:val="00237DC5"/>
    <w:rsid w:val="0024043B"/>
    <w:rsid w:val="002408FD"/>
    <w:rsid w:val="0024144A"/>
    <w:rsid w:val="00241C61"/>
    <w:rsid w:val="0024283E"/>
    <w:rsid w:val="00242895"/>
    <w:rsid w:val="00242C64"/>
    <w:rsid w:val="00243369"/>
    <w:rsid w:val="00243932"/>
    <w:rsid w:val="00243CBC"/>
    <w:rsid w:val="00243FE6"/>
    <w:rsid w:val="0024432B"/>
    <w:rsid w:val="002445AD"/>
    <w:rsid w:val="00245C97"/>
    <w:rsid w:val="00245DCA"/>
    <w:rsid w:val="00245E95"/>
    <w:rsid w:val="0024673E"/>
    <w:rsid w:val="00247BC4"/>
    <w:rsid w:val="00247D86"/>
    <w:rsid w:val="00250C11"/>
    <w:rsid w:val="002511FB"/>
    <w:rsid w:val="00251D08"/>
    <w:rsid w:val="002522BE"/>
    <w:rsid w:val="00252939"/>
    <w:rsid w:val="00253218"/>
    <w:rsid w:val="00253F56"/>
    <w:rsid w:val="0025429C"/>
    <w:rsid w:val="00255402"/>
    <w:rsid w:val="0025551A"/>
    <w:rsid w:val="002561E9"/>
    <w:rsid w:val="00256744"/>
    <w:rsid w:val="00256FC0"/>
    <w:rsid w:val="002574DD"/>
    <w:rsid w:val="0025763C"/>
    <w:rsid w:val="00257C71"/>
    <w:rsid w:val="00257E49"/>
    <w:rsid w:val="00260345"/>
    <w:rsid w:val="002605C3"/>
    <w:rsid w:val="002608E1"/>
    <w:rsid w:val="00260DBE"/>
    <w:rsid w:val="002629E7"/>
    <w:rsid w:val="002630EC"/>
    <w:rsid w:val="002636C1"/>
    <w:rsid w:val="00263B2E"/>
    <w:rsid w:val="002648B0"/>
    <w:rsid w:val="00264B0D"/>
    <w:rsid w:val="00264D04"/>
    <w:rsid w:val="00266294"/>
    <w:rsid w:val="002662B1"/>
    <w:rsid w:val="002662DD"/>
    <w:rsid w:val="002668AF"/>
    <w:rsid w:val="002668C1"/>
    <w:rsid w:val="00266DF1"/>
    <w:rsid w:val="00267B78"/>
    <w:rsid w:val="00267C59"/>
    <w:rsid w:val="00270AB2"/>
    <w:rsid w:val="00270CD0"/>
    <w:rsid w:val="002724CB"/>
    <w:rsid w:val="002736C7"/>
    <w:rsid w:val="002740A8"/>
    <w:rsid w:val="00274CFB"/>
    <w:rsid w:val="00275303"/>
    <w:rsid w:val="002761BF"/>
    <w:rsid w:val="002767E1"/>
    <w:rsid w:val="00277A2C"/>
    <w:rsid w:val="00281791"/>
    <w:rsid w:val="00281BFA"/>
    <w:rsid w:val="002838FA"/>
    <w:rsid w:val="00286574"/>
    <w:rsid w:val="00286FC0"/>
    <w:rsid w:val="002911A8"/>
    <w:rsid w:val="00291F06"/>
    <w:rsid w:val="00292717"/>
    <w:rsid w:val="00292FFC"/>
    <w:rsid w:val="002935D4"/>
    <w:rsid w:val="002938D8"/>
    <w:rsid w:val="00294534"/>
    <w:rsid w:val="00294948"/>
    <w:rsid w:val="00294CBC"/>
    <w:rsid w:val="00295AA0"/>
    <w:rsid w:val="00295F92"/>
    <w:rsid w:val="00296892"/>
    <w:rsid w:val="00297960"/>
    <w:rsid w:val="00297A9D"/>
    <w:rsid w:val="00297FAB"/>
    <w:rsid w:val="002A02F1"/>
    <w:rsid w:val="002A1CAD"/>
    <w:rsid w:val="002A30E6"/>
    <w:rsid w:val="002A369D"/>
    <w:rsid w:val="002A4810"/>
    <w:rsid w:val="002A50CB"/>
    <w:rsid w:val="002A5580"/>
    <w:rsid w:val="002A5C7B"/>
    <w:rsid w:val="002A6AC0"/>
    <w:rsid w:val="002A700D"/>
    <w:rsid w:val="002A773B"/>
    <w:rsid w:val="002A7F70"/>
    <w:rsid w:val="002B01A8"/>
    <w:rsid w:val="002B0201"/>
    <w:rsid w:val="002B0570"/>
    <w:rsid w:val="002B0640"/>
    <w:rsid w:val="002B0CF7"/>
    <w:rsid w:val="002B13BE"/>
    <w:rsid w:val="002B286A"/>
    <w:rsid w:val="002B3272"/>
    <w:rsid w:val="002B3844"/>
    <w:rsid w:val="002B3B6A"/>
    <w:rsid w:val="002B4115"/>
    <w:rsid w:val="002B453F"/>
    <w:rsid w:val="002B4653"/>
    <w:rsid w:val="002B4EAC"/>
    <w:rsid w:val="002B5325"/>
    <w:rsid w:val="002B72C2"/>
    <w:rsid w:val="002B785C"/>
    <w:rsid w:val="002B7D44"/>
    <w:rsid w:val="002C0003"/>
    <w:rsid w:val="002C057A"/>
    <w:rsid w:val="002C0774"/>
    <w:rsid w:val="002C09C9"/>
    <w:rsid w:val="002C0F85"/>
    <w:rsid w:val="002C133C"/>
    <w:rsid w:val="002C1656"/>
    <w:rsid w:val="002C197B"/>
    <w:rsid w:val="002C1B14"/>
    <w:rsid w:val="002C1B2F"/>
    <w:rsid w:val="002C1F7D"/>
    <w:rsid w:val="002C31CF"/>
    <w:rsid w:val="002C3BC3"/>
    <w:rsid w:val="002C4588"/>
    <w:rsid w:val="002C5799"/>
    <w:rsid w:val="002C6318"/>
    <w:rsid w:val="002C7008"/>
    <w:rsid w:val="002D005B"/>
    <w:rsid w:val="002D0613"/>
    <w:rsid w:val="002D0952"/>
    <w:rsid w:val="002D0FD3"/>
    <w:rsid w:val="002D285E"/>
    <w:rsid w:val="002D3153"/>
    <w:rsid w:val="002D3A8E"/>
    <w:rsid w:val="002D3B2E"/>
    <w:rsid w:val="002D435E"/>
    <w:rsid w:val="002D4C07"/>
    <w:rsid w:val="002D51B1"/>
    <w:rsid w:val="002D51BB"/>
    <w:rsid w:val="002D66D2"/>
    <w:rsid w:val="002D6C79"/>
    <w:rsid w:val="002D6CAD"/>
    <w:rsid w:val="002D738F"/>
    <w:rsid w:val="002D7C29"/>
    <w:rsid w:val="002E0DBF"/>
    <w:rsid w:val="002E1BD7"/>
    <w:rsid w:val="002E1C1A"/>
    <w:rsid w:val="002E1CEB"/>
    <w:rsid w:val="002E21D0"/>
    <w:rsid w:val="002E2E46"/>
    <w:rsid w:val="002E3F0D"/>
    <w:rsid w:val="002E45C0"/>
    <w:rsid w:val="002E513A"/>
    <w:rsid w:val="002E5789"/>
    <w:rsid w:val="002E5ADB"/>
    <w:rsid w:val="002E6178"/>
    <w:rsid w:val="002E68E9"/>
    <w:rsid w:val="002E7146"/>
    <w:rsid w:val="002E7727"/>
    <w:rsid w:val="002E7C3E"/>
    <w:rsid w:val="002F3C1C"/>
    <w:rsid w:val="002F3D46"/>
    <w:rsid w:val="002F4476"/>
    <w:rsid w:val="002F44ED"/>
    <w:rsid w:val="002F4C65"/>
    <w:rsid w:val="002F4EC3"/>
    <w:rsid w:val="002F6E45"/>
    <w:rsid w:val="002F71D8"/>
    <w:rsid w:val="002F79C6"/>
    <w:rsid w:val="002F7FC3"/>
    <w:rsid w:val="00300156"/>
    <w:rsid w:val="003004BB"/>
    <w:rsid w:val="00300B56"/>
    <w:rsid w:val="0030110D"/>
    <w:rsid w:val="003012C5"/>
    <w:rsid w:val="0030147C"/>
    <w:rsid w:val="003018F6"/>
    <w:rsid w:val="00302017"/>
    <w:rsid w:val="003033E3"/>
    <w:rsid w:val="003040C4"/>
    <w:rsid w:val="00304280"/>
    <w:rsid w:val="003046F5"/>
    <w:rsid w:val="0030542F"/>
    <w:rsid w:val="00305A96"/>
    <w:rsid w:val="00305F3C"/>
    <w:rsid w:val="00305F6F"/>
    <w:rsid w:val="003069C7"/>
    <w:rsid w:val="003076C6"/>
    <w:rsid w:val="00307B05"/>
    <w:rsid w:val="00310186"/>
    <w:rsid w:val="003105CB"/>
    <w:rsid w:val="00310773"/>
    <w:rsid w:val="0031147B"/>
    <w:rsid w:val="00311810"/>
    <w:rsid w:val="00311993"/>
    <w:rsid w:val="00312265"/>
    <w:rsid w:val="00312E08"/>
    <w:rsid w:val="00313110"/>
    <w:rsid w:val="003131DA"/>
    <w:rsid w:val="00313670"/>
    <w:rsid w:val="00315588"/>
    <w:rsid w:val="003161D3"/>
    <w:rsid w:val="003175DE"/>
    <w:rsid w:val="00317847"/>
    <w:rsid w:val="00317BAC"/>
    <w:rsid w:val="00320FA6"/>
    <w:rsid w:val="003227E6"/>
    <w:rsid w:val="00322C20"/>
    <w:rsid w:val="00323005"/>
    <w:rsid w:val="003233EB"/>
    <w:rsid w:val="00323C53"/>
    <w:rsid w:val="003247C2"/>
    <w:rsid w:val="00324B8E"/>
    <w:rsid w:val="00324C4F"/>
    <w:rsid w:val="00324ECE"/>
    <w:rsid w:val="00325078"/>
    <w:rsid w:val="0032556F"/>
    <w:rsid w:val="00325591"/>
    <w:rsid w:val="00325895"/>
    <w:rsid w:val="003305CE"/>
    <w:rsid w:val="00330C6A"/>
    <w:rsid w:val="00331FE5"/>
    <w:rsid w:val="00331FF6"/>
    <w:rsid w:val="0033249E"/>
    <w:rsid w:val="0033289C"/>
    <w:rsid w:val="00332C5D"/>
    <w:rsid w:val="00332CB7"/>
    <w:rsid w:val="00332DB9"/>
    <w:rsid w:val="00333344"/>
    <w:rsid w:val="00334ECA"/>
    <w:rsid w:val="003351D3"/>
    <w:rsid w:val="00335959"/>
    <w:rsid w:val="00337AF3"/>
    <w:rsid w:val="00340115"/>
    <w:rsid w:val="00341A54"/>
    <w:rsid w:val="00342245"/>
    <w:rsid w:val="00342532"/>
    <w:rsid w:val="00342C65"/>
    <w:rsid w:val="0034301B"/>
    <w:rsid w:val="00343688"/>
    <w:rsid w:val="00344351"/>
    <w:rsid w:val="00344658"/>
    <w:rsid w:val="003460C0"/>
    <w:rsid w:val="003460C5"/>
    <w:rsid w:val="00346C9B"/>
    <w:rsid w:val="00346CFA"/>
    <w:rsid w:val="00346EBE"/>
    <w:rsid w:val="00346F29"/>
    <w:rsid w:val="0034741F"/>
    <w:rsid w:val="00347CCE"/>
    <w:rsid w:val="003511A0"/>
    <w:rsid w:val="00351D5C"/>
    <w:rsid w:val="00354DC0"/>
    <w:rsid w:val="003560E4"/>
    <w:rsid w:val="00356D2E"/>
    <w:rsid w:val="00357000"/>
    <w:rsid w:val="00357F1F"/>
    <w:rsid w:val="003602D1"/>
    <w:rsid w:val="00360580"/>
    <w:rsid w:val="00360649"/>
    <w:rsid w:val="0036084D"/>
    <w:rsid w:val="0036099D"/>
    <w:rsid w:val="00361010"/>
    <w:rsid w:val="0036176D"/>
    <w:rsid w:val="00362B21"/>
    <w:rsid w:val="00362DDC"/>
    <w:rsid w:val="00362F9A"/>
    <w:rsid w:val="00363137"/>
    <w:rsid w:val="00363A09"/>
    <w:rsid w:val="00363AA0"/>
    <w:rsid w:val="003644A6"/>
    <w:rsid w:val="00364544"/>
    <w:rsid w:val="00364E99"/>
    <w:rsid w:val="00365E0A"/>
    <w:rsid w:val="003660C3"/>
    <w:rsid w:val="003674D6"/>
    <w:rsid w:val="00370D2D"/>
    <w:rsid w:val="0037109B"/>
    <w:rsid w:val="00371338"/>
    <w:rsid w:val="003718F6"/>
    <w:rsid w:val="00371A4B"/>
    <w:rsid w:val="00371B3B"/>
    <w:rsid w:val="00371BAF"/>
    <w:rsid w:val="00371BCB"/>
    <w:rsid w:val="003727A3"/>
    <w:rsid w:val="00372958"/>
    <w:rsid w:val="00373897"/>
    <w:rsid w:val="00373C65"/>
    <w:rsid w:val="00374D33"/>
    <w:rsid w:val="00375416"/>
    <w:rsid w:val="00375D24"/>
    <w:rsid w:val="00376BAC"/>
    <w:rsid w:val="0037702A"/>
    <w:rsid w:val="00377A02"/>
    <w:rsid w:val="00377DC1"/>
    <w:rsid w:val="00380BE3"/>
    <w:rsid w:val="00381580"/>
    <w:rsid w:val="00381ACD"/>
    <w:rsid w:val="00381FD2"/>
    <w:rsid w:val="003834A0"/>
    <w:rsid w:val="003838FE"/>
    <w:rsid w:val="00385202"/>
    <w:rsid w:val="003857F6"/>
    <w:rsid w:val="00385CA8"/>
    <w:rsid w:val="0038665D"/>
    <w:rsid w:val="003870EF"/>
    <w:rsid w:val="003875CF"/>
    <w:rsid w:val="00391A86"/>
    <w:rsid w:val="00393474"/>
    <w:rsid w:val="003938EF"/>
    <w:rsid w:val="00393B83"/>
    <w:rsid w:val="00393F82"/>
    <w:rsid w:val="003943A2"/>
    <w:rsid w:val="003949ED"/>
    <w:rsid w:val="00394ED6"/>
    <w:rsid w:val="00396448"/>
    <w:rsid w:val="00397836"/>
    <w:rsid w:val="003A00B7"/>
    <w:rsid w:val="003A1051"/>
    <w:rsid w:val="003A11DF"/>
    <w:rsid w:val="003A12B3"/>
    <w:rsid w:val="003A1B34"/>
    <w:rsid w:val="003A23A1"/>
    <w:rsid w:val="003A435A"/>
    <w:rsid w:val="003A5239"/>
    <w:rsid w:val="003A6A56"/>
    <w:rsid w:val="003A72CD"/>
    <w:rsid w:val="003A7426"/>
    <w:rsid w:val="003A77AA"/>
    <w:rsid w:val="003A787B"/>
    <w:rsid w:val="003B066C"/>
    <w:rsid w:val="003B21CF"/>
    <w:rsid w:val="003B2ED7"/>
    <w:rsid w:val="003B31B7"/>
    <w:rsid w:val="003B39D1"/>
    <w:rsid w:val="003B4341"/>
    <w:rsid w:val="003B4583"/>
    <w:rsid w:val="003B4813"/>
    <w:rsid w:val="003B4F10"/>
    <w:rsid w:val="003B56E7"/>
    <w:rsid w:val="003B5835"/>
    <w:rsid w:val="003B5BD3"/>
    <w:rsid w:val="003B5CC9"/>
    <w:rsid w:val="003B6155"/>
    <w:rsid w:val="003B6D8C"/>
    <w:rsid w:val="003B7465"/>
    <w:rsid w:val="003B7F4A"/>
    <w:rsid w:val="003C04A2"/>
    <w:rsid w:val="003C129F"/>
    <w:rsid w:val="003C202C"/>
    <w:rsid w:val="003C2898"/>
    <w:rsid w:val="003C370B"/>
    <w:rsid w:val="003C4E77"/>
    <w:rsid w:val="003C5328"/>
    <w:rsid w:val="003C5336"/>
    <w:rsid w:val="003C5C5C"/>
    <w:rsid w:val="003C5ECB"/>
    <w:rsid w:val="003C70A4"/>
    <w:rsid w:val="003C72BA"/>
    <w:rsid w:val="003C75E2"/>
    <w:rsid w:val="003C7EE9"/>
    <w:rsid w:val="003D0795"/>
    <w:rsid w:val="003D0922"/>
    <w:rsid w:val="003D3928"/>
    <w:rsid w:val="003D3FE0"/>
    <w:rsid w:val="003D4443"/>
    <w:rsid w:val="003D5528"/>
    <w:rsid w:val="003D57A6"/>
    <w:rsid w:val="003D5CB6"/>
    <w:rsid w:val="003D7DFC"/>
    <w:rsid w:val="003E09F3"/>
    <w:rsid w:val="003E0B7F"/>
    <w:rsid w:val="003E13D6"/>
    <w:rsid w:val="003E1CB0"/>
    <w:rsid w:val="003E1D7D"/>
    <w:rsid w:val="003E1E83"/>
    <w:rsid w:val="003E3623"/>
    <w:rsid w:val="003E3A29"/>
    <w:rsid w:val="003E3BE7"/>
    <w:rsid w:val="003E4288"/>
    <w:rsid w:val="003E46EF"/>
    <w:rsid w:val="003E6457"/>
    <w:rsid w:val="003E6B48"/>
    <w:rsid w:val="003E742B"/>
    <w:rsid w:val="003E7937"/>
    <w:rsid w:val="003F01D8"/>
    <w:rsid w:val="003F027C"/>
    <w:rsid w:val="003F0D83"/>
    <w:rsid w:val="003F0E38"/>
    <w:rsid w:val="003F1672"/>
    <w:rsid w:val="003F1DDA"/>
    <w:rsid w:val="003F1F86"/>
    <w:rsid w:val="003F22D6"/>
    <w:rsid w:val="003F2E6A"/>
    <w:rsid w:val="003F33E9"/>
    <w:rsid w:val="003F3A87"/>
    <w:rsid w:val="003F449D"/>
    <w:rsid w:val="003F4C5F"/>
    <w:rsid w:val="003F4D15"/>
    <w:rsid w:val="003F573E"/>
    <w:rsid w:val="003F79B8"/>
    <w:rsid w:val="003F7E4C"/>
    <w:rsid w:val="00400787"/>
    <w:rsid w:val="004012A3"/>
    <w:rsid w:val="004025C0"/>
    <w:rsid w:val="004029A8"/>
    <w:rsid w:val="00402FB1"/>
    <w:rsid w:val="0040390D"/>
    <w:rsid w:val="00403ADF"/>
    <w:rsid w:val="00403E26"/>
    <w:rsid w:val="00404504"/>
    <w:rsid w:val="004047C6"/>
    <w:rsid w:val="00404D4F"/>
    <w:rsid w:val="00405203"/>
    <w:rsid w:val="00405519"/>
    <w:rsid w:val="0040658B"/>
    <w:rsid w:val="0040749D"/>
    <w:rsid w:val="004074AB"/>
    <w:rsid w:val="004075EF"/>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5FAC"/>
    <w:rsid w:val="0041681C"/>
    <w:rsid w:val="00416D95"/>
    <w:rsid w:val="00417C84"/>
    <w:rsid w:val="0042061A"/>
    <w:rsid w:val="0042142C"/>
    <w:rsid w:val="00421A18"/>
    <w:rsid w:val="00421B9D"/>
    <w:rsid w:val="004221A8"/>
    <w:rsid w:val="0042314D"/>
    <w:rsid w:val="004234F4"/>
    <w:rsid w:val="00423A46"/>
    <w:rsid w:val="00424443"/>
    <w:rsid w:val="0042452B"/>
    <w:rsid w:val="00425174"/>
    <w:rsid w:val="004252DA"/>
    <w:rsid w:val="004258AA"/>
    <w:rsid w:val="00425B19"/>
    <w:rsid w:val="0042614C"/>
    <w:rsid w:val="00426488"/>
    <w:rsid w:val="0042709C"/>
    <w:rsid w:val="00427D37"/>
    <w:rsid w:val="00427EA1"/>
    <w:rsid w:val="004300A5"/>
    <w:rsid w:val="004305A9"/>
    <w:rsid w:val="004305BF"/>
    <w:rsid w:val="004308B3"/>
    <w:rsid w:val="00431174"/>
    <w:rsid w:val="004317D9"/>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19DE"/>
    <w:rsid w:val="0044364A"/>
    <w:rsid w:val="0044394B"/>
    <w:rsid w:val="00443BF0"/>
    <w:rsid w:val="00444035"/>
    <w:rsid w:val="0044447F"/>
    <w:rsid w:val="0044480E"/>
    <w:rsid w:val="0044558E"/>
    <w:rsid w:val="004455BD"/>
    <w:rsid w:val="004459DC"/>
    <w:rsid w:val="00445BFC"/>
    <w:rsid w:val="004460D2"/>
    <w:rsid w:val="004461AE"/>
    <w:rsid w:val="00447295"/>
    <w:rsid w:val="00447B33"/>
    <w:rsid w:val="004508C9"/>
    <w:rsid w:val="00450962"/>
    <w:rsid w:val="00451022"/>
    <w:rsid w:val="00452924"/>
    <w:rsid w:val="00453F03"/>
    <w:rsid w:val="00456089"/>
    <w:rsid w:val="004561CE"/>
    <w:rsid w:val="00460121"/>
    <w:rsid w:val="00460F60"/>
    <w:rsid w:val="0046182B"/>
    <w:rsid w:val="00461862"/>
    <w:rsid w:val="0046195E"/>
    <w:rsid w:val="00461F33"/>
    <w:rsid w:val="00462591"/>
    <w:rsid w:val="004651AA"/>
    <w:rsid w:val="00465C10"/>
    <w:rsid w:val="004674B3"/>
    <w:rsid w:val="00470486"/>
    <w:rsid w:val="00470648"/>
    <w:rsid w:val="00470EF9"/>
    <w:rsid w:val="00471383"/>
    <w:rsid w:val="00471BD9"/>
    <w:rsid w:val="00471C3B"/>
    <w:rsid w:val="00471FDF"/>
    <w:rsid w:val="00472079"/>
    <w:rsid w:val="00472B9E"/>
    <w:rsid w:val="00472C37"/>
    <w:rsid w:val="0047376C"/>
    <w:rsid w:val="004738E9"/>
    <w:rsid w:val="00473B56"/>
    <w:rsid w:val="00473D86"/>
    <w:rsid w:val="00473DD2"/>
    <w:rsid w:val="00474579"/>
    <w:rsid w:val="00475097"/>
    <w:rsid w:val="0047670A"/>
    <w:rsid w:val="0047727E"/>
    <w:rsid w:val="00477325"/>
    <w:rsid w:val="00480436"/>
    <w:rsid w:val="004822DE"/>
    <w:rsid w:val="00483AC9"/>
    <w:rsid w:val="00483DBF"/>
    <w:rsid w:val="004860F7"/>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51"/>
    <w:rsid w:val="00493CA2"/>
    <w:rsid w:val="00494422"/>
    <w:rsid w:val="0049484B"/>
    <w:rsid w:val="004957D1"/>
    <w:rsid w:val="00496607"/>
    <w:rsid w:val="00497229"/>
    <w:rsid w:val="004A0793"/>
    <w:rsid w:val="004A19C4"/>
    <w:rsid w:val="004A1B7F"/>
    <w:rsid w:val="004A275D"/>
    <w:rsid w:val="004A2A53"/>
    <w:rsid w:val="004A2D0E"/>
    <w:rsid w:val="004A30DB"/>
    <w:rsid w:val="004A3310"/>
    <w:rsid w:val="004A3748"/>
    <w:rsid w:val="004A3AC1"/>
    <w:rsid w:val="004A41A6"/>
    <w:rsid w:val="004A4A2F"/>
    <w:rsid w:val="004A4CAE"/>
    <w:rsid w:val="004A4D10"/>
    <w:rsid w:val="004A51CC"/>
    <w:rsid w:val="004A5274"/>
    <w:rsid w:val="004A5C1B"/>
    <w:rsid w:val="004A5FBB"/>
    <w:rsid w:val="004A60CB"/>
    <w:rsid w:val="004B08A0"/>
    <w:rsid w:val="004B16F4"/>
    <w:rsid w:val="004B31C0"/>
    <w:rsid w:val="004B3885"/>
    <w:rsid w:val="004B470F"/>
    <w:rsid w:val="004B527A"/>
    <w:rsid w:val="004B5344"/>
    <w:rsid w:val="004B571B"/>
    <w:rsid w:val="004B64D6"/>
    <w:rsid w:val="004C0951"/>
    <w:rsid w:val="004C09FB"/>
    <w:rsid w:val="004C0C53"/>
    <w:rsid w:val="004C0F3B"/>
    <w:rsid w:val="004C106B"/>
    <w:rsid w:val="004C1F3A"/>
    <w:rsid w:val="004C2088"/>
    <w:rsid w:val="004C2F9E"/>
    <w:rsid w:val="004C32A3"/>
    <w:rsid w:val="004C39CA"/>
    <w:rsid w:val="004C3BB8"/>
    <w:rsid w:val="004C3BD1"/>
    <w:rsid w:val="004C4981"/>
    <w:rsid w:val="004C5C6C"/>
    <w:rsid w:val="004C6718"/>
    <w:rsid w:val="004C6F5C"/>
    <w:rsid w:val="004C70AB"/>
    <w:rsid w:val="004C76C3"/>
    <w:rsid w:val="004D0781"/>
    <w:rsid w:val="004D1079"/>
    <w:rsid w:val="004D1147"/>
    <w:rsid w:val="004D176A"/>
    <w:rsid w:val="004D1A53"/>
    <w:rsid w:val="004D2495"/>
    <w:rsid w:val="004D5E49"/>
    <w:rsid w:val="004D67F8"/>
    <w:rsid w:val="004D6F85"/>
    <w:rsid w:val="004E104F"/>
    <w:rsid w:val="004E186D"/>
    <w:rsid w:val="004E1A9D"/>
    <w:rsid w:val="004E4139"/>
    <w:rsid w:val="004E5CAD"/>
    <w:rsid w:val="004E667E"/>
    <w:rsid w:val="004E6AB1"/>
    <w:rsid w:val="004E744C"/>
    <w:rsid w:val="004E7D81"/>
    <w:rsid w:val="004F11C0"/>
    <w:rsid w:val="004F1967"/>
    <w:rsid w:val="004F29CE"/>
    <w:rsid w:val="004F2B3E"/>
    <w:rsid w:val="004F4B3A"/>
    <w:rsid w:val="004F4D44"/>
    <w:rsid w:val="004F5BCC"/>
    <w:rsid w:val="004F6932"/>
    <w:rsid w:val="004F6CF8"/>
    <w:rsid w:val="004F7427"/>
    <w:rsid w:val="004F753A"/>
    <w:rsid w:val="004F78EE"/>
    <w:rsid w:val="004F7AEB"/>
    <w:rsid w:val="004F7E68"/>
    <w:rsid w:val="005000AB"/>
    <w:rsid w:val="00500517"/>
    <w:rsid w:val="00500BF1"/>
    <w:rsid w:val="00502169"/>
    <w:rsid w:val="005026EB"/>
    <w:rsid w:val="00503553"/>
    <w:rsid w:val="0050384A"/>
    <w:rsid w:val="0050408E"/>
    <w:rsid w:val="0050467A"/>
    <w:rsid w:val="00505F66"/>
    <w:rsid w:val="00506F12"/>
    <w:rsid w:val="0051015F"/>
    <w:rsid w:val="0051085E"/>
    <w:rsid w:val="005115BB"/>
    <w:rsid w:val="00511706"/>
    <w:rsid w:val="005124E9"/>
    <w:rsid w:val="005135F6"/>
    <w:rsid w:val="00514058"/>
    <w:rsid w:val="00514E40"/>
    <w:rsid w:val="00515304"/>
    <w:rsid w:val="00515B7E"/>
    <w:rsid w:val="0051683D"/>
    <w:rsid w:val="005168B7"/>
    <w:rsid w:val="00521459"/>
    <w:rsid w:val="00522D32"/>
    <w:rsid w:val="005233BA"/>
    <w:rsid w:val="00524141"/>
    <w:rsid w:val="00524890"/>
    <w:rsid w:val="00524B13"/>
    <w:rsid w:val="005258F3"/>
    <w:rsid w:val="00526D9B"/>
    <w:rsid w:val="00526F67"/>
    <w:rsid w:val="0052781E"/>
    <w:rsid w:val="00527C13"/>
    <w:rsid w:val="005310D1"/>
    <w:rsid w:val="00532706"/>
    <w:rsid w:val="005329B1"/>
    <w:rsid w:val="00533F35"/>
    <w:rsid w:val="0053439B"/>
    <w:rsid w:val="00534774"/>
    <w:rsid w:val="00534970"/>
    <w:rsid w:val="00534FE2"/>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3C02"/>
    <w:rsid w:val="005446BF"/>
    <w:rsid w:val="005454E2"/>
    <w:rsid w:val="00545EEA"/>
    <w:rsid w:val="0054600E"/>
    <w:rsid w:val="005461F4"/>
    <w:rsid w:val="005462CB"/>
    <w:rsid w:val="005466C8"/>
    <w:rsid w:val="00546C4F"/>
    <w:rsid w:val="00546EE4"/>
    <w:rsid w:val="00547E0E"/>
    <w:rsid w:val="0055047C"/>
    <w:rsid w:val="00550CD6"/>
    <w:rsid w:val="005512FD"/>
    <w:rsid w:val="00551747"/>
    <w:rsid w:val="005520C6"/>
    <w:rsid w:val="00552560"/>
    <w:rsid w:val="005529B0"/>
    <w:rsid w:val="00552D8C"/>
    <w:rsid w:val="005538EC"/>
    <w:rsid w:val="00553C36"/>
    <w:rsid w:val="00553FA5"/>
    <w:rsid w:val="00554FEE"/>
    <w:rsid w:val="00555367"/>
    <w:rsid w:val="005557A5"/>
    <w:rsid w:val="00555CF3"/>
    <w:rsid w:val="005562C8"/>
    <w:rsid w:val="00556E7F"/>
    <w:rsid w:val="00557CAE"/>
    <w:rsid w:val="0056039F"/>
    <w:rsid w:val="0056084F"/>
    <w:rsid w:val="005611A8"/>
    <w:rsid w:val="00561D0B"/>
    <w:rsid w:val="005622DA"/>
    <w:rsid w:val="00563E43"/>
    <w:rsid w:val="005650E7"/>
    <w:rsid w:val="005655FF"/>
    <w:rsid w:val="0056561A"/>
    <w:rsid w:val="0057085E"/>
    <w:rsid w:val="00570977"/>
    <w:rsid w:val="00571586"/>
    <w:rsid w:val="00571DFE"/>
    <w:rsid w:val="005725F0"/>
    <w:rsid w:val="005732B4"/>
    <w:rsid w:val="005732ED"/>
    <w:rsid w:val="0057340E"/>
    <w:rsid w:val="00573BAE"/>
    <w:rsid w:val="005740A2"/>
    <w:rsid w:val="0057433D"/>
    <w:rsid w:val="005743BB"/>
    <w:rsid w:val="005744F0"/>
    <w:rsid w:val="0057454C"/>
    <w:rsid w:val="00575043"/>
    <w:rsid w:val="00575A0C"/>
    <w:rsid w:val="00576F95"/>
    <w:rsid w:val="00582130"/>
    <w:rsid w:val="0058322B"/>
    <w:rsid w:val="00583755"/>
    <w:rsid w:val="00584236"/>
    <w:rsid w:val="00584CB2"/>
    <w:rsid w:val="0058530D"/>
    <w:rsid w:val="00585598"/>
    <w:rsid w:val="005860CF"/>
    <w:rsid w:val="00590057"/>
    <w:rsid w:val="0059019D"/>
    <w:rsid w:val="00590A07"/>
    <w:rsid w:val="00590EDD"/>
    <w:rsid w:val="00591416"/>
    <w:rsid w:val="005920F8"/>
    <w:rsid w:val="005925D3"/>
    <w:rsid w:val="005927ED"/>
    <w:rsid w:val="00592C6A"/>
    <w:rsid w:val="005931C9"/>
    <w:rsid w:val="00596A82"/>
    <w:rsid w:val="00596AD9"/>
    <w:rsid w:val="00597392"/>
    <w:rsid w:val="005A0875"/>
    <w:rsid w:val="005A21DF"/>
    <w:rsid w:val="005A29EC"/>
    <w:rsid w:val="005A3032"/>
    <w:rsid w:val="005A4036"/>
    <w:rsid w:val="005A48F8"/>
    <w:rsid w:val="005A4E8D"/>
    <w:rsid w:val="005A5A6B"/>
    <w:rsid w:val="005A5E82"/>
    <w:rsid w:val="005A5FF0"/>
    <w:rsid w:val="005A651F"/>
    <w:rsid w:val="005A6872"/>
    <w:rsid w:val="005A6AF8"/>
    <w:rsid w:val="005A7656"/>
    <w:rsid w:val="005A7A60"/>
    <w:rsid w:val="005A7AE9"/>
    <w:rsid w:val="005B04E3"/>
    <w:rsid w:val="005B0DFF"/>
    <w:rsid w:val="005B0EA8"/>
    <w:rsid w:val="005B22FE"/>
    <w:rsid w:val="005B3AD9"/>
    <w:rsid w:val="005B4296"/>
    <w:rsid w:val="005B4D97"/>
    <w:rsid w:val="005B528E"/>
    <w:rsid w:val="005B5AF6"/>
    <w:rsid w:val="005B5C7B"/>
    <w:rsid w:val="005B5F10"/>
    <w:rsid w:val="005B6281"/>
    <w:rsid w:val="005B63B2"/>
    <w:rsid w:val="005B740F"/>
    <w:rsid w:val="005B780E"/>
    <w:rsid w:val="005C0332"/>
    <w:rsid w:val="005C0A97"/>
    <w:rsid w:val="005C1D15"/>
    <w:rsid w:val="005C42E3"/>
    <w:rsid w:val="005C48DF"/>
    <w:rsid w:val="005C5ACE"/>
    <w:rsid w:val="005C6358"/>
    <w:rsid w:val="005C760C"/>
    <w:rsid w:val="005D0A4A"/>
    <w:rsid w:val="005D0C85"/>
    <w:rsid w:val="005D1364"/>
    <w:rsid w:val="005D2DC0"/>
    <w:rsid w:val="005D2E1D"/>
    <w:rsid w:val="005D5123"/>
    <w:rsid w:val="005D6DBE"/>
    <w:rsid w:val="005D7407"/>
    <w:rsid w:val="005D7412"/>
    <w:rsid w:val="005D7503"/>
    <w:rsid w:val="005D7BAD"/>
    <w:rsid w:val="005D7FB7"/>
    <w:rsid w:val="005E216B"/>
    <w:rsid w:val="005E37D7"/>
    <w:rsid w:val="005E3C43"/>
    <w:rsid w:val="005E6691"/>
    <w:rsid w:val="005E70AC"/>
    <w:rsid w:val="005E7685"/>
    <w:rsid w:val="005F0DF6"/>
    <w:rsid w:val="005F15F1"/>
    <w:rsid w:val="005F2329"/>
    <w:rsid w:val="005F23E5"/>
    <w:rsid w:val="005F2C7B"/>
    <w:rsid w:val="005F2D82"/>
    <w:rsid w:val="005F3312"/>
    <w:rsid w:val="005F3B55"/>
    <w:rsid w:val="005F4625"/>
    <w:rsid w:val="005F4664"/>
    <w:rsid w:val="005F4AAE"/>
    <w:rsid w:val="005F51EB"/>
    <w:rsid w:val="005F60B5"/>
    <w:rsid w:val="005F6AC2"/>
    <w:rsid w:val="005F7A13"/>
    <w:rsid w:val="00600116"/>
    <w:rsid w:val="006002D0"/>
    <w:rsid w:val="00600FA8"/>
    <w:rsid w:val="006014EA"/>
    <w:rsid w:val="0060178C"/>
    <w:rsid w:val="0060188A"/>
    <w:rsid w:val="006019A8"/>
    <w:rsid w:val="00601A0C"/>
    <w:rsid w:val="00601AA0"/>
    <w:rsid w:val="00602AAA"/>
    <w:rsid w:val="006030BC"/>
    <w:rsid w:val="00603488"/>
    <w:rsid w:val="00604191"/>
    <w:rsid w:val="00604843"/>
    <w:rsid w:val="006049E8"/>
    <w:rsid w:val="00604D96"/>
    <w:rsid w:val="00604DB4"/>
    <w:rsid w:val="00604F7C"/>
    <w:rsid w:val="0060508F"/>
    <w:rsid w:val="006062B2"/>
    <w:rsid w:val="00606434"/>
    <w:rsid w:val="006064C5"/>
    <w:rsid w:val="0061029A"/>
    <w:rsid w:val="006105F8"/>
    <w:rsid w:val="00610B85"/>
    <w:rsid w:val="00611E82"/>
    <w:rsid w:val="0061440B"/>
    <w:rsid w:val="00615340"/>
    <w:rsid w:val="006157AC"/>
    <w:rsid w:val="00615CF4"/>
    <w:rsid w:val="00615D26"/>
    <w:rsid w:val="00617449"/>
    <w:rsid w:val="0062154C"/>
    <w:rsid w:val="00621C01"/>
    <w:rsid w:val="00621EEA"/>
    <w:rsid w:val="006221B9"/>
    <w:rsid w:val="0062223D"/>
    <w:rsid w:val="00622CA7"/>
    <w:rsid w:val="00623161"/>
    <w:rsid w:val="00623546"/>
    <w:rsid w:val="00623783"/>
    <w:rsid w:val="00624113"/>
    <w:rsid w:val="006241AA"/>
    <w:rsid w:val="0062524D"/>
    <w:rsid w:val="006255F1"/>
    <w:rsid w:val="00625C3F"/>
    <w:rsid w:val="0062608F"/>
    <w:rsid w:val="00626140"/>
    <w:rsid w:val="006263BC"/>
    <w:rsid w:val="00630525"/>
    <w:rsid w:val="00630979"/>
    <w:rsid w:val="0063123F"/>
    <w:rsid w:val="00631E18"/>
    <w:rsid w:val="00632295"/>
    <w:rsid w:val="00633361"/>
    <w:rsid w:val="006341BE"/>
    <w:rsid w:val="0063643E"/>
    <w:rsid w:val="00636A13"/>
    <w:rsid w:val="006407A2"/>
    <w:rsid w:val="00641959"/>
    <w:rsid w:val="00641B1C"/>
    <w:rsid w:val="00641CF9"/>
    <w:rsid w:val="00641EC1"/>
    <w:rsid w:val="00642EB8"/>
    <w:rsid w:val="006439E6"/>
    <w:rsid w:val="00643BDE"/>
    <w:rsid w:val="006443EA"/>
    <w:rsid w:val="006446B7"/>
    <w:rsid w:val="006452DA"/>
    <w:rsid w:val="00645ABC"/>
    <w:rsid w:val="00647E3E"/>
    <w:rsid w:val="006501A9"/>
    <w:rsid w:val="006501AC"/>
    <w:rsid w:val="006513D9"/>
    <w:rsid w:val="00651633"/>
    <w:rsid w:val="006516D8"/>
    <w:rsid w:val="00651AC1"/>
    <w:rsid w:val="006520DA"/>
    <w:rsid w:val="006524B9"/>
    <w:rsid w:val="00652990"/>
    <w:rsid w:val="00653433"/>
    <w:rsid w:val="00653578"/>
    <w:rsid w:val="0065390E"/>
    <w:rsid w:val="00653B73"/>
    <w:rsid w:val="00653BCE"/>
    <w:rsid w:val="00653DE1"/>
    <w:rsid w:val="006543C7"/>
    <w:rsid w:val="0065462F"/>
    <w:rsid w:val="00654BBA"/>
    <w:rsid w:val="00655964"/>
    <w:rsid w:val="00656E51"/>
    <w:rsid w:val="00660709"/>
    <w:rsid w:val="006611C8"/>
    <w:rsid w:val="0066205D"/>
    <w:rsid w:val="00662413"/>
    <w:rsid w:val="00662C19"/>
    <w:rsid w:val="00662E27"/>
    <w:rsid w:val="00662EB9"/>
    <w:rsid w:val="00663B14"/>
    <w:rsid w:val="00663EE0"/>
    <w:rsid w:val="0066445D"/>
    <w:rsid w:val="006649BD"/>
    <w:rsid w:val="0066719E"/>
    <w:rsid w:val="0066780C"/>
    <w:rsid w:val="0067034D"/>
    <w:rsid w:val="006706AF"/>
    <w:rsid w:val="006709B2"/>
    <w:rsid w:val="0067165A"/>
    <w:rsid w:val="00671D98"/>
    <w:rsid w:val="00672002"/>
    <w:rsid w:val="006724DC"/>
    <w:rsid w:val="0067309F"/>
    <w:rsid w:val="00674F5B"/>
    <w:rsid w:val="00675144"/>
    <w:rsid w:val="00675153"/>
    <w:rsid w:val="00675231"/>
    <w:rsid w:val="006752C6"/>
    <w:rsid w:val="00675C2D"/>
    <w:rsid w:val="00675F6F"/>
    <w:rsid w:val="00677326"/>
    <w:rsid w:val="006773A1"/>
    <w:rsid w:val="00680286"/>
    <w:rsid w:val="0068036B"/>
    <w:rsid w:val="00680AE7"/>
    <w:rsid w:val="00680BD8"/>
    <w:rsid w:val="00681AED"/>
    <w:rsid w:val="00681EAE"/>
    <w:rsid w:val="00682EC8"/>
    <w:rsid w:val="0068365B"/>
    <w:rsid w:val="006843CB"/>
    <w:rsid w:val="00684A09"/>
    <w:rsid w:val="00684AED"/>
    <w:rsid w:val="00684C91"/>
    <w:rsid w:val="00686202"/>
    <w:rsid w:val="0068641D"/>
    <w:rsid w:val="006867D4"/>
    <w:rsid w:val="0068718C"/>
    <w:rsid w:val="006875BA"/>
    <w:rsid w:val="00687718"/>
    <w:rsid w:val="00687E64"/>
    <w:rsid w:val="00691112"/>
    <w:rsid w:val="00691801"/>
    <w:rsid w:val="00692378"/>
    <w:rsid w:val="006923C9"/>
    <w:rsid w:val="00692ED6"/>
    <w:rsid w:val="00693657"/>
    <w:rsid w:val="0069496B"/>
    <w:rsid w:val="00695432"/>
    <w:rsid w:val="00695607"/>
    <w:rsid w:val="006970B3"/>
    <w:rsid w:val="006971D0"/>
    <w:rsid w:val="006A0A68"/>
    <w:rsid w:val="006A0DD9"/>
    <w:rsid w:val="006A0F4D"/>
    <w:rsid w:val="006A1411"/>
    <w:rsid w:val="006A1F76"/>
    <w:rsid w:val="006A260A"/>
    <w:rsid w:val="006A2FE3"/>
    <w:rsid w:val="006A3870"/>
    <w:rsid w:val="006A4E60"/>
    <w:rsid w:val="006A6262"/>
    <w:rsid w:val="006A6B74"/>
    <w:rsid w:val="006A705D"/>
    <w:rsid w:val="006A771A"/>
    <w:rsid w:val="006A7893"/>
    <w:rsid w:val="006A7B89"/>
    <w:rsid w:val="006A7BBD"/>
    <w:rsid w:val="006B0629"/>
    <w:rsid w:val="006B0FEC"/>
    <w:rsid w:val="006B11D8"/>
    <w:rsid w:val="006B132A"/>
    <w:rsid w:val="006B13E9"/>
    <w:rsid w:val="006B19C2"/>
    <w:rsid w:val="006B2B39"/>
    <w:rsid w:val="006B37EF"/>
    <w:rsid w:val="006B3F4D"/>
    <w:rsid w:val="006B4131"/>
    <w:rsid w:val="006B4ADA"/>
    <w:rsid w:val="006B4C95"/>
    <w:rsid w:val="006B4D44"/>
    <w:rsid w:val="006B55BE"/>
    <w:rsid w:val="006B582A"/>
    <w:rsid w:val="006B5B2E"/>
    <w:rsid w:val="006B6DDB"/>
    <w:rsid w:val="006B7A88"/>
    <w:rsid w:val="006C095A"/>
    <w:rsid w:val="006C0F17"/>
    <w:rsid w:val="006C22C0"/>
    <w:rsid w:val="006C3BD2"/>
    <w:rsid w:val="006C57DD"/>
    <w:rsid w:val="006C5905"/>
    <w:rsid w:val="006C5C4E"/>
    <w:rsid w:val="006C5CF3"/>
    <w:rsid w:val="006C61C7"/>
    <w:rsid w:val="006C6F5E"/>
    <w:rsid w:val="006C70D9"/>
    <w:rsid w:val="006C727B"/>
    <w:rsid w:val="006D0C5F"/>
    <w:rsid w:val="006D0E98"/>
    <w:rsid w:val="006D123E"/>
    <w:rsid w:val="006D17F6"/>
    <w:rsid w:val="006D19A8"/>
    <w:rsid w:val="006D1D7B"/>
    <w:rsid w:val="006D20E6"/>
    <w:rsid w:val="006D2C00"/>
    <w:rsid w:val="006D355F"/>
    <w:rsid w:val="006D44B4"/>
    <w:rsid w:val="006D4C13"/>
    <w:rsid w:val="006D5C79"/>
    <w:rsid w:val="006D6286"/>
    <w:rsid w:val="006D6865"/>
    <w:rsid w:val="006D7161"/>
    <w:rsid w:val="006D75D1"/>
    <w:rsid w:val="006D7B37"/>
    <w:rsid w:val="006E0DC6"/>
    <w:rsid w:val="006E200F"/>
    <w:rsid w:val="006E2A00"/>
    <w:rsid w:val="006E2B3F"/>
    <w:rsid w:val="006E543C"/>
    <w:rsid w:val="006E67EE"/>
    <w:rsid w:val="006F0510"/>
    <w:rsid w:val="006F12CE"/>
    <w:rsid w:val="006F1E59"/>
    <w:rsid w:val="006F209C"/>
    <w:rsid w:val="006F2283"/>
    <w:rsid w:val="006F2969"/>
    <w:rsid w:val="006F3AF6"/>
    <w:rsid w:val="006F4DAB"/>
    <w:rsid w:val="006F58B6"/>
    <w:rsid w:val="006F6CE0"/>
    <w:rsid w:val="006F6E7E"/>
    <w:rsid w:val="006F713D"/>
    <w:rsid w:val="006F79FB"/>
    <w:rsid w:val="006F7A62"/>
    <w:rsid w:val="007000FA"/>
    <w:rsid w:val="007003D9"/>
    <w:rsid w:val="007003F2"/>
    <w:rsid w:val="00700587"/>
    <w:rsid w:val="00700F99"/>
    <w:rsid w:val="007028FF"/>
    <w:rsid w:val="00703F14"/>
    <w:rsid w:val="0070451E"/>
    <w:rsid w:val="007046B4"/>
    <w:rsid w:val="007049FD"/>
    <w:rsid w:val="007055B0"/>
    <w:rsid w:val="00705BB9"/>
    <w:rsid w:val="00706703"/>
    <w:rsid w:val="00707009"/>
    <w:rsid w:val="00707278"/>
    <w:rsid w:val="00710D24"/>
    <w:rsid w:val="007112CC"/>
    <w:rsid w:val="007114CD"/>
    <w:rsid w:val="00711831"/>
    <w:rsid w:val="00711B0B"/>
    <w:rsid w:val="00711F27"/>
    <w:rsid w:val="00711F5A"/>
    <w:rsid w:val="0071285F"/>
    <w:rsid w:val="00712E53"/>
    <w:rsid w:val="00713E8F"/>
    <w:rsid w:val="00714EA9"/>
    <w:rsid w:val="0071563F"/>
    <w:rsid w:val="0071571C"/>
    <w:rsid w:val="007165E3"/>
    <w:rsid w:val="007167E2"/>
    <w:rsid w:val="00717223"/>
    <w:rsid w:val="007172D5"/>
    <w:rsid w:val="00717ADF"/>
    <w:rsid w:val="00717D1E"/>
    <w:rsid w:val="00720077"/>
    <w:rsid w:val="0072118B"/>
    <w:rsid w:val="00721B42"/>
    <w:rsid w:val="0072304C"/>
    <w:rsid w:val="007235E4"/>
    <w:rsid w:val="00723D13"/>
    <w:rsid w:val="0072467C"/>
    <w:rsid w:val="00724B18"/>
    <w:rsid w:val="00724B7F"/>
    <w:rsid w:val="00726AF6"/>
    <w:rsid w:val="00726E9A"/>
    <w:rsid w:val="0072706F"/>
    <w:rsid w:val="00727705"/>
    <w:rsid w:val="00730802"/>
    <w:rsid w:val="00730A12"/>
    <w:rsid w:val="00730B33"/>
    <w:rsid w:val="00730BFA"/>
    <w:rsid w:val="007329AF"/>
    <w:rsid w:val="00732C78"/>
    <w:rsid w:val="00734D12"/>
    <w:rsid w:val="007368C4"/>
    <w:rsid w:val="00736F10"/>
    <w:rsid w:val="00737D7E"/>
    <w:rsid w:val="00737FCD"/>
    <w:rsid w:val="007404B4"/>
    <w:rsid w:val="00740571"/>
    <w:rsid w:val="00741059"/>
    <w:rsid w:val="007420FA"/>
    <w:rsid w:val="00742363"/>
    <w:rsid w:val="00743118"/>
    <w:rsid w:val="007438AB"/>
    <w:rsid w:val="00743F46"/>
    <w:rsid w:val="00744983"/>
    <w:rsid w:val="00744AC9"/>
    <w:rsid w:val="00744FD7"/>
    <w:rsid w:val="0074672A"/>
    <w:rsid w:val="00746B34"/>
    <w:rsid w:val="0074728C"/>
    <w:rsid w:val="00747365"/>
    <w:rsid w:val="00747A4A"/>
    <w:rsid w:val="00747D25"/>
    <w:rsid w:val="00747D54"/>
    <w:rsid w:val="00750124"/>
    <w:rsid w:val="00750282"/>
    <w:rsid w:val="00750D3D"/>
    <w:rsid w:val="0075101B"/>
    <w:rsid w:val="007526A1"/>
    <w:rsid w:val="00752E46"/>
    <w:rsid w:val="007530C0"/>
    <w:rsid w:val="00753244"/>
    <w:rsid w:val="0075496F"/>
    <w:rsid w:val="0075541A"/>
    <w:rsid w:val="00756078"/>
    <w:rsid w:val="007561BD"/>
    <w:rsid w:val="007561C5"/>
    <w:rsid w:val="00756513"/>
    <w:rsid w:val="0075749D"/>
    <w:rsid w:val="00757BCF"/>
    <w:rsid w:val="00760702"/>
    <w:rsid w:val="0076077D"/>
    <w:rsid w:val="00763DED"/>
    <w:rsid w:val="00763F88"/>
    <w:rsid w:val="00763FC4"/>
    <w:rsid w:val="00764AB3"/>
    <w:rsid w:val="00764EA3"/>
    <w:rsid w:val="00765353"/>
    <w:rsid w:val="00767EFF"/>
    <w:rsid w:val="00771D59"/>
    <w:rsid w:val="00773160"/>
    <w:rsid w:val="00773C0C"/>
    <w:rsid w:val="00775970"/>
    <w:rsid w:val="007761F6"/>
    <w:rsid w:val="0077640E"/>
    <w:rsid w:val="0077663C"/>
    <w:rsid w:val="00776D50"/>
    <w:rsid w:val="00777365"/>
    <w:rsid w:val="00780DB0"/>
    <w:rsid w:val="00780DC4"/>
    <w:rsid w:val="007810F3"/>
    <w:rsid w:val="00782844"/>
    <w:rsid w:val="00782A62"/>
    <w:rsid w:val="00782EBF"/>
    <w:rsid w:val="00782FDA"/>
    <w:rsid w:val="00784B2C"/>
    <w:rsid w:val="007850B2"/>
    <w:rsid w:val="00787810"/>
    <w:rsid w:val="00787CBF"/>
    <w:rsid w:val="0079081A"/>
    <w:rsid w:val="00790909"/>
    <w:rsid w:val="00790A12"/>
    <w:rsid w:val="0079122A"/>
    <w:rsid w:val="00791A79"/>
    <w:rsid w:val="00791D8A"/>
    <w:rsid w:val="00791DBE"/>
    <w:rsid w:val="0079247D"/>
    <w:rsid w:val="007945F0"/>
    <w:rsid w:val="00794661"/>
    <w:rsid w:val="0079560C"/>
    <w:rsid w:val="00796E0C"/>
    <w:rsid w:val="007A29E0"/>
    <w:rsid w:val="007A34A3"/>
    <w:rsid w:val="007A3993"/>
    <w:rsid w:val="007A515E"/>
    <w:rsid w:val="007A5161"/>
    <w:rsid w:val="007A5379"/>
    <w:rsid w:val="007A55CF"/>
    <w:rsid w:val="007A6698"/>
    <w:rsid w:val="007A70AF"/>
    <w:rsid w:val="007B0188"/>
    <w:rsid w:val="007B23BC"/>
    <w:rsid w:val="007B27A7"/>
    <w:rsid w:val="007B3356"/>
    <w:rsid w:val="007B33E4"/>
    <w:rsid w:val="007B40BB"/>
    <w:rsid w:val="007B4407"/>
    <w:rsid w:val="007B463B"/>
    <w:rsid w:val="007B4D27"/>
    <w:rsid w:val="007B5618"/>
    <w:rsid w:val="007B68D8"/>
    <w:rsid w:val="007B6E39"/>
    <w:rsid w:val="007B7591"/>
    <w:rsid w:val="007B7F5F"/>
    <w:rsid w:val="007B7F89"/>
    <w:rsid w:val="007C00F8"/>
    <w:rsid w:val="007C0477"/>
    <w:rsid w:val="007C04FC"/>
    <w:rsid w:val="007C09FF"/>
    <w:rsid w:val="007C19BD"/>
    <w:rsid w:val="007C207E"/>
    <w:rsid w:val="007C2CC5"/>
    <w:rsid w:val="007C2EF9"/>
    <w:rsid w:val="007C4023"/>
    <w:rsid w:val="007C5CBF"/>
    <w:rsid w:val="007C5DF2"/>
    <w:rsid w:val="007C683D"/>
    <w:rsid w:val="007D09F8"/>
    <w:rsid w:val="007D13AC"/>
    <w:rsid w:val="007D147D"/>
    <w:rsid w:val="007D14BE"/>
    <w:rsid w:val="007D1BB2"/>
    <w:rsid w:val="007D244D"/>
    <w:rsid w:val="007D2F41"/>
    <w:rsid w:val="007D37A8"/>
    <w:rsid w:val="007D4015"/>
    <w:rsid w:val="007D422A"/>
    <w:rsid w:val="007D43B9"/>
    <w:rsid w:val="007D4D41"/>
    <w:rsid w:val="007D5743"/>
    <w:rsid w:val="007D66F3"/>
    <w:rsid w:val="007D747D"/>
    <w:rsid w:val="007E0117"/>
    <w:rsid w:val="007E04F1"/>
    <w:rsid w:val="007E1325"/>
    <w:rsid w:val="007E1551"/>
    <w:rsid w:val="007E15B5"/>
    <w:rsid w:val="007E1638"/>
    <w:rsid w:val="007E16C8"/>
    <w:rsid w:val="007E1B1D"/>
    <w:rsid w:val="007E1DAF"/>
    <w:rsid w:val="007E24C9"/>
    <w:rsid w:val="007E2E22"/>
    <w:rsid w:val="007E31F1"/>
    <w:rsid w:val="007E3648"/>
    <w:rsid w:val="007E3A95"/>
    <w:rsid w:val="007E3D7F"/>
    <w:rsid w:val="007E4011"/>
    <w:rsid w:val="007E48A8"/>
    <w:rsid w:val="007E52F3"/>
    <w:rsid w:val="007E5387"/>
    <w:rsid w:val="007E57A3"/>
    <w:rsid w:val="007E6F97"/>
    <w:rsid w:val="007E70E2"/>
    <w:rsid w:val="007E7A54"/>
    <w:rsid w:val="007E7F5D"/>
    <w:rsid w:val="007F0434"/>
    <w:rsid w:val="007F05FD"/>
    <w:rsid w:val="007F08F4"/>
    <w:rsid w:val="007F187F"/>
    <w:rsid w:val="007F1952"/>
    <w:rsid w:val="007F27E9"/>
    <w:rsid w:val="007F448F"/>
    <w:rsid w:val="007F495D"/>
    <w:rsid w:val="007F5004"/>
    <w:rsid w:val="007F5A71"/>
    <w:rsid w:val="007F7523"/>
    <w:rsid w:val="008008F9"/>
    <w:rsid w:val="00800F84"/>
    <w:rsid w:val="00801845"/>
    <w:rsid w:val="00801861"/>
    <w:rsid w:val="00801971"/>
    <w:rsid w:val="00804382"/>
    <w:rsid w:val="008043AF"/>
    <w:rsid w:val="00805C19"/>
    <w:rsid w:val="008062F2"/>
    <w:rsid w:val="008067D2"/>
    <w:rsid w:val="00806C2E"/>
    <w:rsid w:val="00807723"/>
    <w:rsid w:val="008077F8"/>
    <w:rsid w:val="008100DB"/>
    <w:rsid w:val="0081014C"/>
    <w:rsid w:val="00810461"/>
    <w:rsid w:val="00810571"/>
    <w:rsid w:val="00810632"/>
    <w:rsid w:val="00810F40"/>
    <w:rsid w:val="00811291"/>
    <w:rsid w:val="00811882"/>
    <w:rsid w:val="00812597"/>
    <w:rsid w:val="00812C17"/>
    <w:rsid w:val="00812CBF"/>
    <w:rsid w:val="00813ED0"/>
    <w:rsid w:val="008149E0"/>
    <w:rsid w:val="008169FC"/>
    <w:rsid w:val="00816DB3"/>
    <w:rsid w:val="00817196"/>
    <w:rsid w:val="00820659"/>
    <w:rsid w:val="00820917"/>
    <w:rsid w:val="008210B6"/>
    <w:rsid w:val="00822C9A"/>
    <w:rsid w:val="008236A2"/>
    <w:rsid w:val="0082512B"/>
    <w:rsid w:val="008261E5"/>
    <w:rsid w:val="0082636E"/>
    <w:rsid w:val="008265BF"/>
    <w:rsid w:val="00826746"/>
    <w:rsid w:val="00827118"/>
    <w:rsid w:val="0082740F"/>
    <w:rsid w:val="00827B7A"/>
    <w:rsid w:val="00827EDA"/>
    <w:rsid w:val="00827FC0"/>
    <w:rsid w:val="00830A57"/>
    <w:rsid w:val="00830F79"/>
    <w:rsid w:val="00831168"/>
    <w:rsid w:val="00832269"/>
    <w:rsid w:val="0083333C"/>
    <w:rsid w:val="00833813"/>
    <w:rsid w:val="00833D88"/>
    <w:rsid w:val="00833F28"/>
    <w:rsid w:val="008357C5"/>
    <w:rsid w:val="008365D8"/>
    <w:rsid w:val="00837B4B"/>
    <w:rsid w:val="00837EF8"/>
    <w:rsid w:val="00840240"/>
    <w:rsid w:val="008402D0"/>
    <w:rsid w:val="00841C1F"/>
    <w:rsid w:val="00842243"/>
    <w:rsid w:val="00842BCC"/>
    <w:rsid w:val="008436DD"/>
    <w:rsid w:val="00843714"/>
    <w:rsid w:val="00843F3F"/>
    <w:rsid w:val="00844251"/>
    <w:rsid w:val="00844860"/>
    <w:rsid w:val="0084548C"/>
    <w:rsid w:val="008456A7"/>
    <w:rsid w:val="00845E32"/>
    <w:rsid w:val="00846FCE"/>
    <w:rsid w:val="00847487"/>
    <w:rsid w:val="00847A0E"/>
    <w:rsid w:val="00847E56"/>
    <w:rsid w:val="008502DA"/>
    <w:rsid w:val="00850CFB"/>
    <w:rsid w:val="008516BA"/>
    <w:rsid w:val="00851962"/>
    <w:rsid w:val="00852BD3"/>
    <w:rsid w:val="00853922"/>
    <w:rsid w:val="00854B85"/>
    <w:rsid w:val="00854DDE"/>
    <w:rsid w:val="00855790"/>
    <w:rsid w:val="00855C4D"/>
    <w:rsid w:val="00856BE3"/>
    <w:rsid w:val="008573CD"/>
    <w:rsid w:val="008603C1"/>
    <w:rsid w:val="008611CD"/>
    <w:rsid w:val="0086198E"/>
    <w:rsid w:val="00862121"/>
    <w:rsid w:val="00862D87"/>
    <w:rsid w:val="0086302E"/>
    <w:rsid w:val="0086330D"/>
    <w:rsid w:val="00863323"/>
    <w:rsid w:val="00864157"/>
    <w:rsid w:val="008649F3"/>
    <w:rsid w:val="00865B5D"/>
    <w:rsid w:val="00865CA8"/>
    <w:rsid w:val="00865E40"/>
    <w:rsid w:val="00865F4E"/>
    <w:rsid w:val="0086798E"/>
    <w:rsid w:val="008701E4"/>
    <w:rsid w:val="00870DFB"/>
    <w:rsid w:val="00871117"/>
    <w:rsid w:val="00871242"/>
    <w:rsid w:val="00871DA1"/>
    <w:rsid w:val="00872DB0"/>
    <w:rsid w:val="0087495D"/>
    <w:rsid w:val="00874B3E"/>
    <w:rsid w:val="00874FD2"/>
    <w:rsid w:val="008760AB"/>
    <w:rsid w:val="00876F25"/>
    <w:rsid w:val="00877006"/>
    <w:rsid w:val="008803AE"/>
    <w:rsid w:val="00880FF4"/>
    <w:rsid w:val="0088309F"/>
    <w:rsid w:val="008842DB"/>
    <w:rsid w:val="00884E2E"/>
    <w:rsid w:val="0088559F"/>
    <w:rsid w:val="00885F6E"/>
    <w:rsid w:val="00886F42"/>
    <w:rsid w:val="00891095"/>
    <w:rsid w:val="00891487"/>
    <w:rsid w:val="00891643"/>
    <w:rsid w:val="00891945"/>
    <w:rsid w:val="00891C62"/>
    <w:rsid w:val="00892515"/>
    <w:rsid w:val="00892F2A"/>
    <w:rsid w:val="00893987"/>
    <w:rsid w:val="00894F70"/>
    <w:rsid w:val="008954F5"/>
    <w:rsid w:val="00895974"/>
    <w:rsid w:val="00896C8A"/>
    <w:rsid w:val="008970E2"/>
    <w:rsid w:val="00897287"/>
    <w:rsid w:val="008A16FA"/>
    <w:rsid w:val="008A1855"/>
    <w:rsid w:val="008A1FB7"/>
    <w:rsid w:val="008A278F"/>
    <w:rsid w:val="008A28F3"/>
    <w:rsid w:val="008A2ACE"/>
    <w:rsid w:val="008A2E0C"/>
    <w:rsid w:val="008A3981"/>
    <w:rsid w:val="008A5A99"/>
    <w:rsid w:val="008A6A99"/>
    <w:rsid w:val="008A7A1D"/>
    <w:rsid w:val="008B0327"/>
    <w:rsid w:val="008B03F7"/>
    <w:rsid w:val="008B13EC"/>
    <w:rsid w:val="008B18DC"/>
    <w:rsid w:val="008B193B"/>
    <w:rsid w:val="008B1DA7"/>
    <w:rsid w:val="008B2250"/>
    <w:rsid w:val="008B2B6B"/>
    <w:rsid w:val="008B2DBD"/>
    <w:rsid w:val="008B37B0"/>
    <w:rsid w:val="008B4206"/>
    <w:rsid w:val="008B46BA"/>
    <w:rsid w:val="008B5CB8"/>
    <w:rsid w:val="008B5F42"/>
    <w:rsid w:val="008B6354"/>
    <w:rsid w:val="008B6472"/>
    <w:rsid w:val="008B66E7"/>
    <w:rsid w:val="008B6744"/>
    <w:rsid w:val="008B6F67"/>
    <w:rsid w:val="008B75EA"/>
    <w:rsid w:val="008C072F"/>
    <w:rsid w:val="008C0C15"/>
    <w:rsid w:val="008C1113"/>
    <w:rsid w:val="008C1807"/>
    <w:rsid w:val="008C1EF6"/>
    <w:rsid w:val="008C3225"/>
    <w:rsid w:val="008C3A95"/>
    <w:rsid w:val="008C5D1B"/>
    <w:rsid w:val="008C7B15"/>
    <w:rsid w:val="008C7F4D"/>
    <w:rsid w:val="008D00D8"/>
    <w:rsid w:val="008D09E2"/>
    <w:rsid w:val="008D1B98"/>
    <w:rsid w:val="008D2929"/>
    <w:rsid w:val="008D544F"/>
    <w:rsid w:val="008D5818"/>
    <w:rsid w:val="008D5AFF"/>
    <w:rsid w:val="008D5B41"/>
    <w:rsid w:val="008D5E55"/>
    <w:rsid w:val="008D749C"/>
    <w:rsid w:val="008E01C9"/>
    <w:rsid w:val="008E074A"/>
    <w:rsid w:val="008E1227"/>
    <w:rsid w:val="008E1AE2"/>
    <w:rsid w:val="008E1B18"/>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E7DF2"/>
    <w:rsid w:val="008F07F1"/>
    <w:rsid w:val="008F2184"/>
    <w:rsid w:val="008F289B"/>
    <w:rsid w:val="008F2E55"/>
    <w:rsid w:val="008F3170"/>
    <w:rsid w:val="008F3336"/>
    <w:rsid w:val="008F5459"/>
    <w:rsid w:val="008F61C3"/>
    <w:rsid w:val="008F737F"/>
    <w:rsid w:val="008F740F"/>
    <w:rsid w:val="008F799B"/>
    <w:rsid w:val="008F7A10"/>
    <w:rsid w:val="009014C5"/>
    <w:rsid w:val="009018B0"/>
    <w:rsid w:val="00902068"/>
    <w:rsid w:val="00903C87"/>
    <w:rsid w:val="009048B6"/>
    <w:rsid w:val="009076A9"/>
    <w:rsid w:val="00907A93"/>
    <w:rsid w:val="009101FE"/>
    <w:rsid w:val="00910531"/>
    <w:rsid w:val="00910727"/>
    <w:rsid w:val="00910B5F"/>
    <w:rsid w:val="00910BFF"/>
    <w:rsid w:val="0091178A"/>
    <w:rsid w:val="00911EC7"/>
    <w:rsid w:val="00914F06"/>
    <w:rsid w:val="009154F1"/>
    <w:rsid w:val="00915823"/>
    <w:rsid w:val="00916165"/>
    <w:rsid w:val="00916300"/>
    <w:rsid w:val="0092105F"/>
    <w:rsid w:val="00921844"/>
    <w:rsid w:val="00921B64"/>
    <w:rsid w:val="00921D17"/>
    <w:rsid w:val="009239F8"/>
    <w:rsid w:val="00923C74"/>
    <w:rsid w:val="00923DD6"/>
    <w:rsid w:val="00925D84"/>
    <w:rsid w:val="00925DF3"/>
    <w:rsid w:val="00925F52"/>
    <w:rsid w:val="00927958"/>
    <w:rsid w:val="00927B77"/>
    <w:rsid w:val="00930697"/>
    <w:rsid w:val="0093183B"/>
    <w:rsid w:val="009318B2"/>
    <w:rsid w:val="00931D28"/>
    <w:rsid w:val="009335ED"/>
    <w:rsid w:val="00933D99"/>
    <w:rsid w:val="009348D6"/>
    <w:rsid w:val="009355C9"/>
    <w:rsid w:val="009360FD"/>
    <w:rsid w:val="0093654D"/>
    <w:rsid w:val="00936F8D"/>
    <w:rsid w:val="00937A7B"/>
    <w:rsid w:val="0094167A"/>
    <w:rsid w:val="00941AAF"/>
    <w:rsid w:val="0094224A"/>
    <w:rsid w:val="009425F4"/>
    <w:rsid w:val="009427EC"/>
    <w:rsid w:val="0094285C"/>
    <w:rsid w:val="00943D59"/>
    <w:rsid w:val="009446D8"/>
    <w:rsid w:val="00944A12"/>
    <w:rsid w:val="00944D6E"/>
    <w:rsid w:val="00945142"/>
    <w:rsid w:val="00945B8E"/>
    <w:rsid w:val="00946291"/>
    <w:rsid w:val="009465CB"/>
    <w:rsid w:val="00946E51"/>
    <w:rsid w:val="00950CCB"/>
    <w:rsid w:val="009515C2"/>
    <w:rsid w:val="00951754"/>
    <w:rsid w:val="00951CAE"/>
    <w:rsid w:val="00952F61"/>
    <w:rsid w:val="00952FBD"/>
    <w:rsid w:val="009531A4"/>
    <w:rsid w:val="0095395E"/>
    <w:rsid w:val="00953B49"/>
    <w:rsid w:val="00955268"/>
    <w:rsid w:val="00956679"/>
    <w:rsid w:val="00956ED8"/>
    <w:rsid w:val="0095759A"/>
    <w:rsid w:val="00957EFB"/>
    <w:rsid w:val="00957FE3"/>
    <w:rsid w:val="00960DED"/>
    <w:rsid w:val="00961062"/>
    <w:rsid w:val="00961BBF"/>
    <w:rsid w:val="00961E39"/>
    <w:rsid w:val="00962D38"/>
    <w:rsid w:val="00962DC4"/>
    <w:rsid w:val="00963621"/>
    <w:rsid w:val="0096367F"/>
    <w:rsid w:val="00963FA1"/>
    <w:rsid w:val="00964826"/>
    <w:rsid w:val="009651F8"/>
    <w:rsid w:val="009653EA"/>
    <w:rsid w:val="00965602"/>
    <w:rsid w:val="00967781"/>
    <w:rsid w:val="00970C77"/>
    <w:rsid w:val="00970C9D"/>
    <w:rsid w:val="00970EC8"/>
    <w:rsid w:val="0097153E"/>
    <w:rsid w:val="00972FA1"/>
    <w:rsid w:val="009733D7"/>
    <w:rsid w:val="0097492D"/>
    <w:rsid w:val="0097516F"/>
    <w:rsid w:val="009759B0"/>
    <w:rsid w:val="009765A9"/>
    <w:rsid w:val="00976646"/>
    <w:rsid w:val="00976F8B"/>
    <w:rsid w:val="00977511"/>
    <w:rsid w:val="00977856"/>
    <w:rsid w:val="00977F1F"/>
    <w:rsid w:val="00981DDE"/>
    <w:rsid w:val="00982E3D"/>
    <w:rsid w:val="0098433B"/>
    <w:rsid w:val="0098453E"/>
    <w:rsid w:val="00984E31"/>
    <w:rsid w:val="00984F54"/>
    <w:rsid w:val="00985A7E"/>
    <w:rsid w:val="00986DBA"/>
    <w:rsid w:val="00986DE7"/>
    <w:rsid w:val="00991029"/>
    <w:rsid w:val="0099150C"/>
    <w:rsid w:val="00991CF9"/>
    <w:rsid w:val="009927E9"/>
    <w:rsid w:val="00992EBB"/>
    <w:rsid w:val="00992F8C"/>
    <w:rsid w:val="00993967"/>
    <w:rsid w:val="009939D2"/>
    <w:rsid w:val="009950D2"/>
    <w:rsid w:val="009955A0"/>
    <w:rsid w:val="0099571D"/>
    <w:rsid w:val="00995AB9"/>
    <w:rsid w:val="00996D22"/>
    <w:rsid w:val="009974D7"/>
    <w:rsid w:val="009A0411"/>
    <w:rsid w:val="009A05B6"/>
    <w:rsid w:val="009A144F"/>
    <w:rsid w:val="009A15BD"/>
    <w:rsid w:val="009A186D"/>
    <w:rsid w:val="009A2A8C"/>
    <w:rsid w:val="009A38D8"/>
    <w:rsid w:val="009A3E10"/>
    <w:rsid w:val="009A4783"/>
    <w:rsid w:val="009A4F7F"/>
    <w:rsid w:val="009A51D6"/>
    <w:rsid w:val="009A59A0"/>
    <w:rsid w:val="009A59A1"/>
    <w:rsid w:val="009A6F50"/>
    <w:rsid w:val="009A7B32"/>
    <w:rsid w:val="009B13BC"/>
    <w:rsid w:val="009B3742"/>
    <w:rsid w:val="009B3B43"/>
    <w:rsid w:val="009B4AF0"/>
    <w:rsid w:val="009B66B6"/>
    <w:rsid w:val="009B6FD1"/>
    <w:rsid w:val="009B751A"/>
    <w:rsid w:val="009B7B7C"/>
    <w:rsid w:val="009B7EC2"/>
    <w:rsid w:val="009B7FD0"/>
    <w:rsid w:val="009C024D"/>
    <w:rsid w:val="009C0469"/>
    <w:rsid w:val="009C04EA"/>
    <w:rsid w:val="009C10F7"/>
    <w:rsid w:val="009C180C"/>
    <w:rsid w:val="009C391F"/>
    <w:rsid w:val="009C4442"/>
    <w:rsid w:val="009C4823"/>
    <w:rsid w:val="009C5127"/>
    <w:rsid w:val="009C5870"/>
    <w:rsid w:val="009C5AA3"/>
    <w:rsid w:val="009C60E3"/>
    <w:rsid w:val="009C7E10"/>
    <w:rsid w:val="009D07B1"/>
    <w:rsid w:val="009D07CB"/>
    <w:rsid w:val="009D0E03"/>
    <w:rsid w:val="009D1A74"/>
    <w:rsid w:val="009D1F99"/>
    <w:rsid w:val="009D2576"/>
    <w:rsid w:val="009D27B2"/>
    <w:rsid w:val="009D28D4"/>
    <w:rsid w:val="009D28DB"/>
    <w:rsid w:val="009D3425"/>
    <w:rsid w:val="009D3685"/>
    <w:rsid w:val="009D4D16"/>
    <w:rsid w:val="009D6560"/>
    <w:rsid w:val="009D7516"/>
    <w:rsid w:val="009D79B9"/>
    <w:rsid w:val="009D7E0C"/>
    <w:rsid w:val="009E0CA0"/>
    <w:rsid w:val="009E0D3D"/>
    <w:rsid w:val="009E1118"/>
    <w:rsid w:val="009E11CA"/>
    <w:rsid w:val="009E1513"/>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C0F"/>
    <w:rsid w:val="009F2181"/>
    <w:rsid w:val="009F2A53"/>
    <w:rsid w:val="009F3A9E"/>
    <w:rsid w:val="009F448F"/>
    <w:rsid w:val="009F51F4"/>
    <w:rsid w:val="009F5347"/>
    <w:rsid w:val="009F5817"/>
    <w:rsid w:val="009F5963"/>
    <w:rsid w:val="009F6466"/>
    <w:rsid w:val="009F6B73"/>
    <w:rsid w:val="009F72DF"/>
    <w:rsid w:val="00A004F6"/>
    <w:rsid w:val="00A007D2"/>
    <w:rsid w:val="00A00D38"/>
    <w:rsid w:val="00A01B50"/>
    <w:rsid w:val="00A0205F"/>
    <w:rsid w:val="00A022FF"/>
    <w:rsid w:val="00A02BD1"/>
    <w:rsid w:val="00A02E21"/>
    <w:rsid w:val="00A02F7F"/>
    <w:rsid w:val="00A02F9D"/>
    <w:rsid w:val="00A0382B"/>
    <w:rsid w:val="00A04194"/>
    <w:rsid w:val="00A046B1"/>
    <w:rsid w:val="00A046BB"/>
    <w:rsid w:val="00A04D09"/>
    <w:rsid w:val="00A0735F"/>
    <w:rsid w:val="00A07C4B"/>
    <w:rsid w:val="00A101FF"/>
    <w:rsid w:val="00A10378"/>
    <w:rsid w:val="00A106DD"/>
    <w:rsid w:val="00A128DA"/>
    <w:rsid w:val="00A12B1C"/>
    <w:rsid w:val="00A14130"/>
    <w:rsid w:val="00A1551F"/>
    <w:rsid w:val="00A16060"/>
    <w:rsid w:val="00A1623F"/>
    <w:rsid w:val="00A173E2"/>
    <w:rsid w:val="00A178B7"/>
    <w:rsid w:val="00A17955"/>
    <w:rsid w:val="00A17C64"/>
    <w:rsid w:val="00A205D0"/>
    <w:rsid w:val="00A20AB5"/>
    <w:rsid w:val="00A20B92"/>
    <w:rsid w:val="00A21C68"/>
    <w:rsid w:val="00A2223E"/>
    <w:rsid w:val="00A22544"/>
    <w:rsid w:val="00A22688"/>
    <w:rsid w:val="00A23ABA"/>
    <w:rsid w:val="00A23B51"/>
    <w:rsid w:val="00A241A9"/>
    <w:rsid w:val="00A24269"/>
    <w:rsid w:val="00A247F1"/>
    <w:rsid w:val="00A25D63"/>
    <w:rsid w:val="00A26335"/>
    <w:rsid w:val="00A26409"/>
    <w:rsid w:val="00A267CB"/>
    <w:rsid w:val="00A26B01"/>
    <w:rsid w:val="00A27485"/>
    <w:rsid w:val="00A3041F"/>
    <w:rsid w:val="00A30D38"/>
    <w:rsid w:val="00A30F60"/>
    <w:rsid w:val="00A31376"/>
    <w:rsid w:val="00A3138B"/>
    <w:rsid w:val="00A31649"/>
    <w:rsid w:val="00A33608"/>
    <w:rsid w:val="00A340DE"/>
    <w:rsid w:val="00A341FA"/>
    <w:rsid w:val="00A343BB"/>
    <w:rsid w:val="00A345D2"/>
    <w:rsid w:val="00A34C7A"/>
    <w:rsid w:val="00A35984"/>
    <w:rsid w:val="00A36BE3"/>
    <w:rsid w:val="00A4044C"/>
    <w:rsid w:val="00A4048D"/>
    <w:rsid w:val="00A4099C"/>
    <w:rsid w:val="00A40CCA"/>
    <w:rsid w:val="00A4161C"/>
    <w:rsid w:val="00A41E45"/>
    <w:rsid w:val="00A4276A"/>
    <w:rsid w:val="00A436C2"/>
    <w:rsid w:val="00A44726"/>
    <w:rsid w:val="00A451AE"/>
    <w:rsid w:val="00A46019"/>
    <w:rsid w:val="00A4612E"/>
    <w:rsid w:val="00A469F5"/>
    <w:rsid w:val="00A46C17"/>
    <w:rsid w:val="00A502E0"/>
    <w:rsid w:val="00A5042F"/>
    <w:rsid w:val="00A50EF9"/>
    <w:rsid w:val="00A51038"/>
    <w:rsid w:val="00A53804"/>
    <w:rsid w:val="00A53A90"/>
    <w:rsid w:val="00A5477A"/>
    <w:rsid w:val="00A54A4C"/>
    <w:rsid w:val="00A54C57"/>
    <w:rsid w:val="00A560C6"/>
    <w:rsid w:val="00A56651"/>
    <w:rsid w:val="00A5694F"/>
    <w:rsid w:val="00A5706D"/>
    <w:rsid w:val="00A5749E"/>
    <w:rsid w:val="00A601ED"/>
    <w:rsid w:val="00A617D2"/>
    <w:rsid w:val="00A62C75"/>
    <w:rsid w:val="00A62FEE"/>
    <w:rsid w:val="00A62FF0"/>
    <w:rsid w:val="00A63CCE"/>
    <w:rsid w:val="00A643AE"/>
    <w:rsid w:val="00A64754"/>
    <w:rsid w:val="00A648E8"/>
    <w:rsid w:val="00A652DF"/>
    <w:rsid w:val="00A66947"/>
    <w:rsid w:val="00A66E15"/>
    <w:rsid w:val="00A67701"/>
    <w:rsid w:val="00A67718"/>
    <w:rsid w:val="00A67A56"/>
    <w:rsid w:val="00A70F9E"/>
    <w:rsid w:val="00A7189C"/>
    <w:rsid w:val="00A734E7"/>
    <w:rsid w:val="00A7352A"/>
    <w:rsid w:val="00A740F8"/>
    <w:rsid w:val="00A741FF"/>
    <w:rsid w:val="00A744B2"/>
    <w:rsid w:val="00A74F1B"/>
    <w:rsid w:val="00A75C41"/>
    <w:rsid w:val="00A75E43"/>
    <w:rsid w:val="00A767C3"/>
    <w:rsid w:val="00A76DB9"/>
    <w:rsid w:val="00A77B1C"/>
    <w:rsid w:val="00A807EA"/>
    <w:rsid w:val="00A809A6"/>
    <w:rsid w:val="00A80C64"/>
    <w:rsid w:val="00A81421"/>
    <w:rsid w:val="00A81586"/>
    <w:rsid w:val="00A81749"/>
    <w:rsid w:val="00A817BE"/>
    <w:rsid w:val="00A81FD2"/>
    <w:rsid w:val="00A82103"/>
    <w:rsid w:val="00A82CF6"/>
    <w:rsid w:val="00A83905"/>
    <w:rsid w:val="00A8556F"/>
    <w:rsid w:val="00A858FA"/>
    <w:rsid w:val="00A85E86"/>
    <w:rsid w:val="00A8662B"/>
    <w:rsid w:val="00A86CD8"/>
    <w:rsid w:val="00A86D43"/>
    <w:rsid w:val="00A86FDB"/>
    <w:rsid w:val="00A87B56"/>
    <w:rsid w:val="00A90D97"/>
    <w:rsid w:val="00A91557"/>
    <w:rsid w:val="00A91AC9"/>
    <w:rsid w:val="00A9282E"/>
    <w:rsid w:val="00A931A1"/>
    <w:rsid w:val="00A932BC"/>
    <w:rsid w:val="00A936C6"/>
    <w:rsid w:val="00A94858"/>
    <w:rsid w:val="00A94930"/>
    <w:rsid w:val="00A95278"/>
    <w:rsid w:val="00A95D98"/>
    <w:rsid w:val="00A96357"/>
    <w:rsid w:val="00A963AD"/>
    <w:rsid w:val="00A96539"/>
    <w:rsid w:val="00A96799"/>
    <w:rsid w:val="00AA08A8"/>
    <w:rsid w:val="00AA0DA8"/>
    <w:rsid w:val="00AA1871"/>
    <w:rsid w:val="00AA24F2"/>
    <w:rsid w:val="00AA297C"/>
    <w:rsid w:val="00AA496B"/>
    <w:rsid w:val="00AA4ACE"/>
    <w:rsid w:val="00AA52AE"/>
    <w:rsid w:val="00AA54B6"/>
    <w:rsid w:val="00AA5B13"/>
    <w:rsid w:val="00AB04F7"/>
    <w:rsid w:val="00AB3C27"/>
    <w:rsid w:val="00AB4C44"/>
    <w:rsid w:val="00AB5263"/>
    <w:rsid w:val="00AB5E4A"/>
    <w:rsid w:val="00AB6DF2"/>
    <w:rsid w:val="00AB78B5"/>
    <w:rsid w:val="00AC04D8"/>
    <w:rsid w:val="00AC1662"/>
    <w:rsid w:val="00AC1BD2"/>
    <w:rsid w:val="00AC1DC6"/>
    <w:rsid w:val="00AC2363"/>
    <w:rsid w:val="00AC238C"/>
    <w:rsid w:val="00AC27CF"/>
    <w:rsid w:val="00AC3054"/>
    <w:rsid w:val="00AC3E13"/>
    <w:rsid w:val="00AC5291"/>
    <w:rsid w:val="00AC587C"/>
    <w:rsid w:val="00AC5A86"/>
    <w:rsid w:val="00AC7592"/>
    <w:rsid w:val="00AC7AEC"/>
    <w:rsid w:val="00AD02BB"/>
    <w:rsid w:val="00AD22F8"/>
    <w:rsid w:val="00AD36C5"/>
    <w:rsid w:val="00AD3BBA"/>
    <w:rsid w:val="00AD420C"/>
    <w:rsid w:val="00AD47C5"/>
    <w:rsid w:val="00AD4F53"/>
    <w:rsid w:val="00AD5324"/>
    <w:rsid w:val="00AE0042"/>
    <w:rsid w:val="00AE0366"/>
    <w:rsid w:val="00AE09F8"/>
    <w:rsid w:val="00AE1963"/>
    <w:rsid w:val="00AE1EA3"/>
    <w:rsid w:val="00AE1FF3"/>
    <w:rsid w:val="00AE2781"/>
    <w:rsid w:val="00AE394E"/>
    <w:rsid w:val="00AE3C7C"/>
    <w:rsid w:val="00AE4039"/>
    <w:rsid w:val="00AE4137"/>
    <w:rsid w:val="00AE4334"/>
    <w:rsid w:val="00AE4AD8"/>
    <w:rsid w:val="00AE51FD"/>
    <w:rsid w:val="00AE532C"/>
    <w:rsid w:val="00AE5E91"/>
    <w:rsid w:val="00AE663C"/>
    <w:rsid w:val="00AF053A"/>
    <w:rsid w:val="00AF0869"/>
    <w:rsid w:val="00AF0E1E"/>
    <w:rsid w:val="00AF1B5D"/>
    <w:rsid w:val="00AF3ACB"/>
    <w:rsid w:val="00AF4399"/>
    <w:rsid w:val="00AF62DA"/>
    <w:rsid w:val="00AF678B"/>
    <w:rsid w:val="00AF764A"/>
    <w:rsid w:val="00B001D0"/>
    <w:rsid w:val="00B00DBB"/>
    <w:rsid w:val="00B022FC"/>
    <w:rsid w:val="00B0241B"/>
    <w:rsid w:val="00B02F4F"/>
    <w:rsid w:val="00B03FCB"/>
    <w:rsid w:val="00B045F6"/>
    <w:rsid w:val="00B06163"/>
    <w:rsid w:val="00B06444"/>
    <w:rsid w:val="00B0646A"/>
    <w:rsid w:val="00B0726A"/>
    <w:rsid w:val="00B07552"/>
    <w:rsid w:val="00B113DD"/>
    <w:rsid w:val="00B120EE"/>
    <w:rsid w:val="00B121B9"/>
    <w:rsid w:val="00B12436"/>
    <w:rsid w:val="00B12745"/>
    <w:rsid w:val="00B12F33"/>
    <w:rsid w:val="00B143B3"/>
    <w:rsid w:val="00B1459A"/>
    <w:rsid w:val="00B14855"/>
    <w:rsid w:val="00B149E7"/>
    <w:rsid w:val="00B1521D"/>
    <w:rsid w:val="00B15678"/>
    <w:rsid w:val="00B16635"/>
    <w:rsid w:val="00B16B1E"/>
    <w:rsid w:val="00B17082"/>
    <w:rsid w:val="00B20174"/>
    <w:rsid w:val="00B218D9"/>
    <w:rsid w:val="00B22256"/>
    <w:rsid w:val="00B23530"/>
    <w:rsid w:val="00B23F02"/>
    <w:rsid w:val="00B240EE"/>
    <w:rsid w:val="00B25AB0"/>
    <w:rsid w:val="00B25AB6"/>
    <w:rsid w:val="00B26186"/>
    <w:rsid w:val="00B26AA1"/>
    <w:rsid w:val="00B27AA0"/>
    <w:rsid w:val="00B30185"/>
    <w:rsid w:val="00B314B1"/>
    <w:rsid w:val="00B31977"/>
    <w:rsid w:val="00B31CA8"/>
    <w:rsid w:val="00B321B5"/>
    <w:rsid w:val="00B32FE1"/>
    <w:rsid w:val="00B334E1"/>
    <w:rsid w:val="00B33572"/>
    <w:rsid w:val="00B33A3D"/>
    <w:rsid w:val="00B33EBE"/>
    <w:rsid w:val="00B350F7"/>
    <w:rsid w:val="00B351B6"/>
    <w:rsid w:val="00B35CC1"/>
    <w:rsid w:val="00B36247"/>
    <w:rsid w:val="00B3718D"/>
    <w:rsid w:val="00B372F1"/>
    <w:rsid w:val="00B379CC"/>
    <w:rsid w:val="00B40067"/>
    <w:rsid w:val="00B401F3"/>
    <w:rsid w:val="00B407D3"/>
    <w:rsid w:val="00B41419"/>
    <w:rsid w:val="00B4177A"/>
    <w:rsid w:val="00B41E4B"/>
    <w:rsid w:val="00B429FE"/>
    <w:rsid w:val="00B42ABC"/>
    <w:rsid w:val="00B42CD0"/>
    <w:rsid w:val="00B42EAE"/>
    <w:rsid w:val="00B43532"/>
    <w:rsid w:val="00B43B79"/>
    <w:rsid w:val="00B441D1"/>
    <w:rsid w:val="00B44585"/>
    <w:rsid w:val="00B45192"/>
    <w:rsid w:val="00B45D36"/>
    <w:rsid w:val="00B45FD3"/>
    <w:rsid w:val="00B466A0"/>
    <w:rsid w:val="00B469FA"/>
    <w:rsid w:val="00B471AA"/>
    <w:rsid w:val="00B47331"/>
    <w:rsid w:val="00B47365"/>
    <w:rsid w:val="00B474BE"/>
    <w:rsid w:val="00B474E4"/>
    <w:rsid w:val="00B479EB"/>
    <w:rsid w:val="00B504AA"/>
    <w:rsid w:val="00B507A0"/>
    <w:rsid w:val="00B50FFF"/>
    <w:rsid w:val="00B519DE"/>
    <w:rsid w:val="00B52465"/>
    <w:rsid w:val="00B54B80"/>
    <w:rsid w:val="00B54E9C"/>
    <w:rsid w:val="00B551C8"/>
    <w:rsid w:val="00B55766"/>
    <w:rsid w:val="00B56C46"/>
    <w:rsid w:val="00B6120D"/>
    <w:rsid w:val="00B632CA"/>
    <w:rsid w:val="00B639DE"/>
    <w:rsid w:val="00B64B3F"/>
    <w:rsid w:val="00B65417"/>
    <w:rsid w:val="00B6593F"/>
    <w:rsid w:val="00B65FE4"/>
    <w:rsid w:val="00B66935"/>
    <w:rsid w:val="00B670F5"/>
    <w:rsid w:val="00B7073D"/>
    <w:rsid w:val="00B7185F"/>
    <w:rsid w:val="00B7192E"/>
    <w:rsid w:val="00B729AF"/>
    <w:rsid w:val="00B72FFB"/>
    <w:rsid w:val="00B73812"/>
    <w:rsid w:val="00B73A73"/>
    <w:rsid w:val="00B73EF4"/>
    <w:rsid w:val="00B74DAA"/>
    <w:rsid w:val="00B759F3"/>
    <w:rsid w:val="00B75D13"/>
    <w:rsid w:val="00B7658D"/>
    <w:rsid w:val="00B76720"/>
    <w:rsid w:val="00B76B89"/>
    <w:rsid w:val="00B77405"/>
    <w:rsid w:val="00B7742D"/>
    <w:rsid w:val="00B77BFC"/>
    <w:rsid w:val="00B80127"/>
    <w:rsid w:val="00B8037B"/>
    <w:rsid w:val="00B80616"/>
    <w:rsid w:val="00B8125D"/>
    <w:rsid w:val="00B81521"/>
    <w:rsid w:val="00B81B31"/>
    <w:rsid w:val="00B8240D"/>
    <w:rsid w:val="00B82502"/>
    <w:rsid w:val="00B82F5F"/>
    <w:rsid w:val="00B83E9D"/>
    <w:rsid w:val="00B854DD"/>
    <w:rsid w:val="00B86160"/>
    <w:rsid w:val="00B861DB"/>
    <w:rsid w:val="00B86CBB"/>
    <w:rsid w:val="00B87FBC"/>
    <w:rsid w:val="00B9004C"/>
    <w:rsid w:val="00B9009D"/>
    <w:rsid w:val="00B91DB7"/>
    <w:rsid w:val="00B923CA"/>
    <w:rsid w:val="00B93AA1"/>
    <w:rsid w:val="00B940E2"/>
    <w:rsid w:val="00B94476"/>
    <w:rsid w:val="00B94664"/>
    <w:rsid w:val="00B95292"/>
    <w:rsid w:val="00B95E9C"/>
    <w:rsid w:val="00B96118"/>
    <w:rsid w:val="00B96B53"/>
    <w:rsid w:val="00B979E0"/>
    <w:rsid w:val="00B97D87"/>
    <w:rsid w:val="00BA0193"/>
    <w:rsid w:val="00BA15C8"/>
    <w:rsid w:val="00BA245C"/>
    <w:rsid w:val="00BA24F4"/>
    <w:rsid w:val="00BA25F4"/>
    <w:rsid w:val="00BA3649"/>
    <w:rsid w:val="00BA3C73"/>
    <w:rsid w:val="00BA603C"/>
    <w:rsid w:val="00BA6267"/>
    <w:rsid w:val="00BA64C7"/>
    <w:rsid w:val="00BA660F"/>
    <w:rsid w:val="00BA694A"/>
    <w:rsid w:val="00BA724E"/>
    <w:rsid w:val="00BA74E8"/>
    <w:rsid w:val="00BA792C"/>
    <w:rsid w:val="00BA7DF1"/>
    <w:rsid w:val="00BB17D6"/>
    <w:rsid w:val="00BB3B54"/>
    <w:rsid w:val="00BB4381"/>
    <w:rsid w:val="00BB47D4"/>
    <w:rsid w:val="00BB4A90"/>
    <w:rsid w:val="00BB4F3D"/>
    <w:rsid w:val="00BB50AC"/>
    <w:rsid w:val="00BB5495"/>
    <w:rsid w:val="00BB5C88"/>
    <w:rsid w:val="00BB5D77"/>
    <w:rsid w:val="00BB6385"/>
    <w:rsid w:val="00BB66A9"/>
    <w:rsid w:val="00BB6CA6"/>
    <w:rsid w:val="00BB6E8D"/>
    <w:rsid w:val="00BB72DF"/>
    <w:rsid w:val="00BB745C"/>
    <w:rsid w:val="00BC0199"/>
    <w:rsid w:val="00BC110F"/>
    <w:rsid w:val="00BC13DB"/>
    <w:rsid w:val="00BC3366"/>
    <w:rsid w:val="00BC365F"/>
    <w:rsid w:val="00BC4027"/>
    <w:rsid w:val="00BC464A"/>
    <w:rsid w:val="00BC4B2D"/>
    <w:rsid w:val="00BC56B4"/>
    <w:rsid w:val="00BC614D"/>
    <w:rsid w:val="00BC64C2"/>
    <w:rsid w:val="00BC6E4A"/>
    <w:rsid w:val="00BC6E7F"/>
    <w:rsid w:val="00BC72B5"/>
    <w:rsid w:val="00BC7587"/>
    <w:rsid w:val="00BC7EF2"/>
    <w:rsid w:val="00BD1924"/>
    <w:rsid w:val="00BD234A"/>
    <w:rsid w:val="00BD2417"/>
    <w:rsid w:val="00BD3125"/>
    <w:rsid w:val="00BD5141"/>
    <w:rsid w:val="00BD5886"/>
    <w:rsid w:val="00BD62AF"/>
    <w:rsid w:val="00BD65A5"/>
    <w:rsid w:val="00BD67E5"/>
    <w:rsid w:val="00BD68F0"/>
    <w:rsid w:val="00BD6C56"/>
    <w:rsid w:val="00BD6F1C"/>
    <w:rsid w:val="00BD73EA"/>
    <w:rsid w:val="00BD78AF"/>
    <w:rsid w:val="00BE0E25"/>
    <w:rsid w:val="00BE38BD"/>
    <w:rsid w:val="00BE3A4F"/>
    <w:rsid w:val="00BE3B37"/>
    <w:rsid w:val="00BE3C4C"/>
    <w:rsid w:val="00BE44DC"/>
    <w:rsid w:val="00BE4E2A"/>
    <w:rsid w:val="00BE5124"/>
    <w:rsid w:val="00BE52AB"/>
    <w:rsid w:val="00BE67D4"/>
    <w:rsid w:val="00BE6B8F"/>
    <w:rsid w:val="00BE6CD9"/>
    <w:rsid w:val="00BE765A"/>
    <w:rsid w:val="00BE7C62"/>
    <w:rsid w:val="00BE7E58"/>
    <w:rsid w:val="00BF08A5"/>
    <w:rsid w:val="00BF136D"/>
    <w:rsid w:val="00BF1E6B"/>
    <w:rsid w:val="00BF1FF6"/>
    <w:rsid w:val="00BF2847"/>
    <w:rsid w:val="00BF297D"/>
    <w:rsid w:val="00BF3683"/>
    <w:rsid w:val="00BF37FD"/>
    <w:rsid w:val="00BF3BAC"/>
    <w:rsid w:val="00BF46C5"/>
    <w:rsid w:val="00BF49AB"/>
    <w:rsid w:val="00BF63FD"/>
    <w:rsid w:val="00BF6906"/>
    <w:rsid w:val="00BF6FE4"/>
    <w:rsid w:val="00BF7398"/>
    <w:rsid w:val="00BF747F"/>
    <w:rsid w:val="00BF7DD0"/>
    <w:rsid w:val="00C00298"/>
    <w:rsid w:val="00C0141E"/>
    <w:rsid w:val="00C01A88"/>
    <w:rsid w:val="00C01C81"/>
    <w:rsid w:val="00C0206F"/>
    <w:rsid w:val="00C02174"/>
    <w:rsid w:val="00C021AF"/>
    <w:rsid w:val="00C02A96"/>
    <w:rsid w:val="00C05373"/>
    <w:rsid w:val="00C05488"/>
    <w:rsid w:val="00C06987"/>
    <w:rsid w:val="00C075BF"/>
    <w:rsid w:val="00C078FE"/>
    <w:rsid w:val="00C079F7"/>
    <w:rsid w:val="00C07FAD"/>
    <w:rsid w:val="00C11BD7"/>
    <w:rsid w:val="00C120F5"/>
    <w:rsid w:val="00C122A7"/>
    <w:rsid w:val="00C12F5C"/>
    <w:rsid w:val="00C1326A"/>
    <w:rsid w:val="00C13EDE"/>
    <w:rsid w:val="00C13FC6"/>
    <w:rsid w:val="00C146CE"/>
    <w:rsid w:val="00C156B9"/>
    <w:rsid w:val="00C1571D"/>
    <w:rsid w:val="00C158AE"/>
    <w:rsid w:val="00C16FAB"/>
    <w:rsid w:val="00C16FC8"/>
    <w:rsid w:val="00C20428"/>
    <w:rsid w:val="00C20AA5"/>
    <w:rsid w:val="00C21627"/>
    <w:rsid w:val="00C22058"/>
    <w:rsid w:val="00C22348"/>
    <w:rsid w:val="00C22AE7"/>
    <w:rsid w:val="00C243AF"/>
    <w:rsid w:val="00C24CF3"/>
    <w:rsid w:val="00C24D4A"/>
    <w:rsid w:val="00C257ED"/>
    <w:rsid w:val="00C26394"/>
    <w:rsid w:val="00C26A16"/>
    <w:rsid w:val="00C27766"/>
    <w:rsid w:val="00C27AEA"/>
    <w:rsid w:val="00C30734"/>
    <w:rsid w:val="00C30B28"/>
    <w:rsid w:val="00C31BA9"/>
    <w:rsid w:val="00C33230"/>
    <w:rsid w:val="00C333AE"/>
    <w:rsid w:val="00C342A3"/>
    <w:rsid w:val="00C34596"/>
    <w:rsid w:val="00C34A7F"/>
    <w:rsid w:val="00C34CED"/>
    <w:rsid w:val="00C35A11"/>
    <w:rsid w:val="00C367B6"/>
    <w:rsid w:val="00C367EB"/>
    <w:rsid w:val="00C36910"/>
    <w:rsid w:val="00C36953"/>
    <w:rsid w:val="00C3726E"/>
    <w:rsid w:val="00C37C47"/>
    <w:rsid w:val="00C37E5C"/>
    <w:rsid w:val="00C40318"/>
    <w:rsid w:val="00C41A4D"/>
    <w:rsid w:val="00C41D69"/>
    <w:rsid w:val="00C42733"/>
    <w:rsid w:val="00C4293F"/>
    <w:rsid w:val="00C42F27"/>
    <w:rsid w:val="00C43218"/>
    <w:rsid w:val="00C439A0"/>
    <w:rsid w:val="00C45327"/>
    <w:rsid w:val="00C4551B"/>
    <w:rsid w:val="00C465D1"/>
    <w:rsid w:val="00C46BD1"/>
    <w:rsid w:val="00C47504"/>
    <w:rsid w:val="00C47D13"/>
    <w:rsid w:val="00C51023"/>
    <w:rsid w:val="00C5177A"/>
    <w:rsid w:val="00C51F25"/>
    <w:rsid w:val="00C53DD8"/>
    <w:rsid w:val="00C556D8"/>
    <w:rsid w:val="00C5592D"/>
    <w:rsid w:val="00C55BB5"/>
    <w:rsid w:val="00C569D4"/>
    <w:rsid w:val="00C573DA"/>
    <w:rsid w:val="00C576C4"/>
    <w:rsid w:val="00C60735"/>
    <w:rsid w:val="00C609F4"/>
    <w:rsid w:val="00C60A5E"/>
    <w:rsid w:val="00C6101E"/>
    <w:rsid w:val="00C61463"/>
    <w:rsid w:val="00C61C7F"/>
    <w:rsid w:val="00C61E4D"/>
    <w:rsid w:val="00C61FB6"/>
    <w:rsid w:val="00C636F3"/>
    <w:rsid w:val="00C64336"/>
    <w:rsid w:val="00C64490"/>
    <w:rsid w:val="00C64A92"/>
    <w:rsid w:val="00C64E91"/>
    <w:rsid w:val="00C64F84"/>
    <w:rsid w:val="00C65EDF"/>
    <w:rsid w:val="00C66231"/>
    <w:rsid w:val="00C70756"/>
    <w:rsid w:val="00C70AA7"/>
    <w:rsid w:val="00C713A3"/>
    <w:rsid w:val="00C7140B"/>
    <w:rsid w:val="00C71432"/>
    <w:rsid w:val="00C7143D"/>
    <w:rsid w:val="00C730BA"/>
    <w:rsid w:val="00C7548F"/>
    <w:rsid w:val="00C75631"/>
    <w:rsid w:val="00C7573D"/>
    <w:rsid w:val="00C75BA7"/>
    <w:rsid w:val="00C75C77"/>
    <w:rsid w:val="00C75E58"/>
    <w:rsid w:val="00C7657B"/>
    <w:rsid w:val="00C773AC"/>
    <w:rsid w:val="00C77AA6"/>
    <w:rsid w:val="00C77DA0"/>
    <w:rsid w:val="00C80071"/>
    <w:rsid w:val="00C80604"/>
    <w:rsid w:val="00C8091F"/>
    <w:rsid w:val="00C80932"/>
    <w:rsid w:val="00C80F1C"/>
    <w:rsid w:val="00C8108D"/>
    <w:rsid w:val="00C814C5"/>
    <w:rsid w:val="00C81B45"/>
    <w:rsid w:val="00C81D0B"/>
    <w:rsid w:val="00C82D9C"/>
    <w:rsid w:val="00C83CE2"/>
    <w:rsid w:val="00C84B3A"/>
    <w:rsid w:val="00C85DCA"/>
    <w:rsid w:val="00C86B24"/>
    <w:rsid w:val="00C8701E"/>
    <w:rsid w:val="00C87441"/>
    <w:rsid w:val="00C87E56"/>
    <w:rsid w:val="00C87F6E"/>
    <w:rsid w:val="00C902AB"/>
    <w:rsid w:val="00C90A66"/>
    <w:rsid w:val="00C90B31"/>
    <w:rsid w:val="00C91634"/>
    <w:rsid w:val="00C91926"/>
    <w:rsid w:val="00C91DA3"/>
    <w:rsid w:val="00C926F6"/>
    <w:rsid w:val="00C9294A"/>
    <w:rsid w:val="00C9302D"/>
    <w:rsid w:val="00C95F0E"/>
    <w:rsid w:val="00C9623B"/>
    <w:rsid w:val="00C968CA"/>
    <w:rsid w:val="00C97E62"/>
    <w:rsid w:val="00CA09FB"/>
    <w:rsid w:val="00CA136A"/>
    <w:rsid w:val="00CA1DC1"/>
    <w:rsid w:val="00CA2391"/>
    <w:rsid w:val="00CA2681"/>
    <w:rsid w:val="00CA2DF5"/>
    <w:rsid w:val="00CA400B"/>
    <w:rsid w:val="00CA4D0F"/>
    <w:rsid w:val="00CA4F1E"/>
    <w:rsid w:val="00CA5AB1"/>
    <w:rsid w:val="00CA5DE6"/>
    <w:rsid w:val="00CA6BFB"/>
    <w:rsid w:val="00CB1479"/>
    <w:rsid w:val="00CB1A44"/>
    <w:rsid w:val="00CB1B9E"/>
    <w:rsid w:val="00CB287A"/>
    <w:rsid w:val="00CB3833"/>
    <w:rsid w:val="00CB4C09"/>
    <w:rsid w:val="00CB5568"/>
    <w:rsid w:val="00CB5634"/>
    <w:rsid w:val="00CB624B"/>
    <w:rsid w:val="00CB7124"/>
    <w:rsid w:val="00CC091C"/>
    <w:rsid w:val="00CC141E"/>
    <w:rsid w:val="00CC241E"/>
    <w:rsid w:val="00CC3DE1"/>
    <w:rsid w:val="00CC3ED1"/>
    <w:rsid w:val="00CC4131"/>
    <w:rsid w:val="00CC4C3E"/>
    <w:rsid w:val="00CC4F79"/>
    <w:rsid w:val="00CC704D"/>
    <w:rsid w:val="00CC76BB"/>
    <w:rsid w:val="00CD0CFD"/>
    <w:rsid w:val="00CD1F65"/>
    <w:rsid w:val="00CD26FC"/>
    <w:rsid w:val="00CD5C5E"/>
    <w:rsid w:val="00CD5FEB"/>
    <w:rsid w:val="00CD68EB"/>
    <w:rsid w:val="00CD70F0"/>
    <w:rsid w:val="00CD7EDC"/>
    <w:rsid w:val="00CE07E2"/>
    <w:rsid w:val="00CE09C9"/>
    <w:rsid w:val="00CE0FD0"/>
    <w:rsid w:val="00CE140B"/>
    <w:rsid w:val="00CE161F"/>
    <w:rsid w:val="00CE1BA7"/>
    <w:rsid w:val="00CE1D45"/>
    <w:rsid w:val="00CE2136"/>
    <w:rsid w:val="00CE2875"/>
    <w:rsid w:val="00CE3240"/>
    <w:rsid w:val="00CE4880"/>
    <w:rsid w:val="00CE494E"/>
    <w:rsid w:val="00CE4CFA"/>
    <w:rsid w:val="00CE521F"/>
    <w:rsid w:val="00CE56D5"/>
    <w:rsid w:val="00CE61FE"/>
    <w:rsid w:val="00CE7308"/>
    <w:rsid w:val="00CE7525"/>
    <w:rsid w:val="00CF0008"/>
    <w:rsid w:val="00CF1928"/>
    <w:rsid w:val="00CF1D10"/>
    <w:rsid w:val="00CF27A0"/>
    <w:rsid w:val="00CF2D58"/>
    <w:rsid w:val="00CF2E4C"/>
    <w:rsid w:val="00CF2FEF"/>
    <w:rsid w:val="00CF3121"/>
    <w:rsid w:val="00CF379A"/>
    <w:rsid w:val="00CF40BC"/>
    <w:rsid w:val="00CF577D"/>
    <w:rsid w:val="00CF63FB"/>
    <w:rsid w:val="00CF6511"/>
    <w:rsid w:val="00D0007E"/>
    <w:rsid w:val="00D00120"/>
    <w:rsid w:val="00D0160D"/>
    <w:rsid w:val="00D024B2"/>
    <w:rsid w:val="00D032EF"/>
    <w:rsid w:val="00D035BD"/>
    <w:rsid w:val="00D040BF"/>
    <w:rsid w:val="00D041D4"/>
    <w:rsid w:val="00D0433C"/>
    <w:rsid w:val="00D04C90"/>
    <w:rsid w:val="00D05548"/>
    <w:rsid w:val="00D05AEA"/>
    <w:rsid w:val="00D068B3"/>
    <w:rsid w:val="00D06BC6"/>
    <w:rsid w:val="00D07A78"/>
    <w:rsid w:val="00D07DF9"/>
    <w:rsid w:val="00D1039A"/>
    <w:rsid w:val="00D1054A"/>
    <w:rsid w:val="00D12F00"/>
    <w:rsid w:val="00D13858"/>
    <w:rsid w:val="00D148FF"/>
    <w:rsid w:val="00D14911"/>
    <w:rsid w:val="00D14DC4"/>
    <w:rsid w:val="00D14FBF"/>
    <w:rsid w:val="00D154BE"/>
    <w:rsid w:val="00D15FE0"/>
    <w:rsid w:val="00D1654C"/>
    <w:rsid w:val="00D16945"/>
    <w:rsid w:val="00D16B26"/>
    <w:rsid w:val="00D16E9A"/>
    <w:rsid w:val="00D20082"/>
    <w:rsid w:val="00D20430"/>
    <w:rsid w:val="00D20FE1"/>
    <w:rsid w:val="00D2118A"/>
    <w:rsid w:val="00D21904"/>
    <w:rsid w:val="00D21B42"/>
    <w:rsid w:val="00D21CB5"/>
    <w:rsid w:val="00D22577"/>
    <w:rsid w:val="00D22860"/>
    <w:rsid w:val="00D22ACC"/>
    <w:rsid w:val="00D23411"/>
    <w:rsid w:val="00D23769"/>
    <w:rsid w:val="00D23CA4"/>
    <w:rsid w:val="00D23CC6"/>
    <w:rsid w:val="00D2420E"/>
    <w:rsid w:val="00D245AC"/>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821"/>
    <w:rsid w:val="00D33599"/>
    <w:rsid w:val="00D335AF"/>
    <w:rsid w:val="00D34FF0"/>
    <w:rsid w:val="00D351FF"/>
    <w:rsid w:val="00D35B41"/>
    <w:rsid w:val="00D35CC0"/>
    <w:rsid w:val="00D36853"/>
    <w:rsid w:val="00D36DE6"/>
    <w:rsid w:val="00D37794"/>
    <w:rsid w:val="00D37BE4"/>
    <w:rsid w:val="00D37BFE"/>
    <w:rsid w:val="00D400AB"/>
    <w:rsid w:val="00D40F2E"/>
    <w:rsid w:val="00D416F1"/>
    <w:rsid w:val="00D432E9"/>
    <w:rsid w:val="00D433BC"/>
    <w:rsid w:val="00D43DE4"/>
    <w:rsid w:val="00D45267"/>
    <w:rsid w:val="00D45BFF"/>
    <w:rsid w:val="00D4676D"/>
    <w:rsid w:val="00D47975"/>
    <w:rsid w:val="00D47B5F"/>
    <w:rsid w:val="00D5031A"/>
    <w:rsid w:val="00D5085C"/>
    <w:rsid w:val="00D50DF6"/>
    <w:rsid w:val="00D50ED2"/>
    <w:rsid w:val="00D5183A"/>
    <w:rsid w:val="00D51EB9"/>
    <w:rsid w:val="00D52661"/>
    <w:rsid w:val="00D53077"/>
    <w:rsid w:val="00D5344C"/>
    <w:rsid w:val="00D54195"/>
    <w:rsid w:val="00D54417"/>
    <w:rsid w:val="00D54570"/>
    <w:rsid w:val="00D54C2B"/>
    <w:rsid w:val="00D55291"/>
    <w:rsid w:val="00D559CC"/>
    <w:rsid w:val="00D55BDD"/>
    <w:rsid w:val="00D562CA"/>
    <w:rsid w:val="00D5644D"/>
    <w:rsid w:val="00D5648F"/>
    <w:rsid w:val="00D569AC"/>
    <w:rsid w:val="00D56D8B"/>
    <w:rsid w:val="00D57424"/>
    <w:rsid w:val="00D574C6"/>
    <w:rsid w:val="00D62443"/>
    <w:rsid w:val="00D625E5"/>
    <w:rsid w:val="00D62F40"/>
    <w:rsid w:val="00D6349D"/>
    <w:rsid w:val="00D63720"/>
    <w:rsid w:val="00D637D6"/>
    <w:rsid w:val="00D638E9"/>
    <w:rsid w:val="00D64272"/>
    <w:rsid w:val="00D64938"/>
    <w:rsid w:val="00D652A5"/>
    <w:rsid w:val="00D652BB"/>
    <w:rsid w:val="00D6616C"/>
    <w:rsid w:val="00D672BD"/>
    <w:rsid w:val="00D67DB1"/>
    <w:rsid w:val="00D7086A"/>
    <w:rsid w:val="00D7157A"/>
    <w:rsid w:val="00D71A98"/>
    <w:rsid w:val="00D71ED5"/>
    <w:rsid w:val="00D72143"/>
    <w:rsid w:val="00D725F2"/>
    <w:rsid w:val="00D72B31"/>
    <w:rsid w:val="00D731DC"/>
    <w:rsid w:val="00D73E8A"/>
    <w:rsid w:val="00D7478C"/>
    <w:rsid w:val="00D770AA"/>
    <w:rsid w:val="00D814EE"/>
    <w:rsid w:val="00D81519"/>
    <w:rsid w:val="00D82532"/>
    <w:rsid w:val="00D825A9"/>
    <w:rsid w:val="00D8298A"/>
    <w:rsid w:val="00D82FD8"/>
    <w:rsid w:val="00D83B09"/>
    <w:rsid w:val="00D85090"/>
    <w:rsid w:val="00D86CFC"/>
    <w:rsid w:val="00D90735"/>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14B3"/>
    <w:rsid w:val="00DB2213"/>
    <w:rsid w:val="00DB2773"/>
    <w:rsid w:val="00DB29D3"/>
    <w:rsid w:val="00DB342A"/>
    <w:rsid w:val="00DB393B"/>
    <w:rsid w:val="00DB398E"/>
    <w:rsid w:val="00DB3A5C"/>
    <w:rsid w:val="00DB4012"/>
    <w:rsid w:val="00DB440A"/>
    <w:rsid w:val="00DB4827"/>
    <w:rsid w:val="00DB4A17"/>
    <w:rsid w:val="00DB4A88"/>
    <w:rsid w:val="00DB4ECF"/>
    <w:rsid w:val="00DB557A"/>
    <w:rsid w:val="00DB5728"/>
    <w:rsid w:val="00DB6FD0"/>
    <w:rsid w:val="00DB73DD"/>
    <w:rsid w:val="00DB7960"/>
    <w:rsid w:val="00DB7E51"/>
    <w:rsid w:val="00DB7FD0"/>
    <w:rsid w:val="00DC07DA"/>
    <w:rsid w:val="00DC114C"/>
    <w:rsid w:val="00DC170E"/>
    <w:rsid w:val="00DC1F9A"/>
    <w:rsid w:val="00DC311E"/>
    <w:rsid w:val="00DC3BAE"/>
    <w:rsid w:val="00DC4E47"/>
    <w:rsid w:val="00DC506A"/>
    <w:rsid w:val="00DC5216"/>
    <w:rsid w:val="00DC538A"/>
    <w:rsid w:val="00DC6A92"/>
    <w:rsid w:val="00DC6C57"/>
    <w:rsid w:val="00DC6FE7"/>
    <w:rsid w:val="00DC7607"/>
    <w:rsid w:val="00DC7823"/>
    <w:rsid w:val="00DD0C49"/>
    <w:rsid w:val="00DD26FA"/>
    <w:rsid w:val="00DD2871"/>
    <w:rsid w:val="00DD361E"/>
    <w:rsid w:val="00DD3944"/>
    <w:rsid w:val="00DD3F62"/>
    <w:rsid w:val="00DD5983"/>
    <w:rsid w:val="00DD5B90"/>
    <w:rsid w:val="00DD6BDD"/>
    <w:rsid w:val="00DD7204"/>
    <w:rsid w:val="00DD76D8"/>
    <w:rsid w:val="00DD7D11"/>
    <w:rsid w:val="00DD7FC7"/>
    <w:rsid w:val="00DE30BF"/>
    <w:rsid w:val="00DE4EBD"/>
    <w:rsid w:val="00DE5108"/>
    <w:rsid w:val="00DE57A4"/>
    <w:rsid w:val="00DE6A4A"/>
    <w:rsid w:val="00DF0AB2"/>
    <w:rsid w:val="00DF1B29"/>
    <w:rsid w:val="00DF2324"/>
    <w:rsid w:val="00DF2588"/>
    <w:rsid w:val="00DF26E9"/>
    <w:rsid w:val="00DF38C4"/>
    <w:rsid w:val="00DF628C"/>
    <w:rsid w:val="00DF65BC"/>
    <w:rsid w:val="00DF6795"/>
    <w:rsid w:val="00DF7678"/>
    <w:rsid w:val="00DF7BCA"/>
    <w:rsid w:val="00E0082A"/>
    <w:rsid w:val="00E00954"/>
    <w:rsid w:val="00E00D92"/>
    <w:rsid w:val="00E015E3"/>
    <w:rsid w:val="00E02698"/>
    <w:rsid w:val="00E03F8F"/>
    <w:rsid w:val="00E04935"/>
    <w:rsid w:val="00E04DF6"/>
    <w:rsid w:val="00E0601A"/>
    <w:rsid w:val="00E06320"/>
    <w:rsid w:val="00E06E2C"/>
    <w:rsid w:val="00E071A6"/>
    <w:rsid w:val="00E074FA"/>
    <w:rsid w:val="00E07A1E"/>
    <w:rsid w:val="00E07BC7"/>
    <w:rsid w:val="00E10C2A"/>
    <w:rsid w:val="00E1147C"/>
    <w:rsid w:val="00E11546"/>
    <w:rsid w:val="00E11A18"/>
    <w:rsid w:val="00E11DF1"/>
    <w:rsid w:val="00E12037"/>
    <w:rsid w:val="00E1204D"/>
    <w:rsid w:val="00E13BEC"/>
    <w:rsid w:val="00E1568B"/>
    <w:rsid w:val="00E15DE4"/>
    <w:rsid w:val="00E15F44"/>
    <w:rsid w:val="00E15FB1"/>
    <w:rsid w:val="00E171BD"/>
    <w:rsid w:val="00E17227"/>
    <w:rsid w:val="00E17E31"/>
    <w:rsid w:val="00E201C7"/>
    <w:rsid w:val="00E203E1"/>
    <w:rsid w:val="00E2065A"/>
    <w:rsid w:val="00E20EF2"/>
    <w:rsid w:val="00E2100D"/>
    <w:rsid w:val="00E210EF"/>
    <w:rsid w:val="00E21212"/>
    <w:rsid w:val="00E229FA"/>
    <w:rsid w:val="00E23A3B"/>
    <w:rsid w:val="00E240FE"/>
    <w:rsid w:val="00E24416"/>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0DA"/>
    <w:rsid w:val="00E324AA"/>
    <w:rsid w:val="00E32F77"/>
    <w:rsid w:val="00E33EB0"/>
    <w:rsid w:val="00E35792"/>
    <w:rsid w:val="00E363E8"/>
    <w:rsid w:val="00E36734"/>
    <w:rsid w:val="00E36948"/>
    <w:rsid w:val="00E369F0"/>
    <w:rsid w:val="00E37078"/>
    <w:rsid w:val="00E3719F"/>
    <w:rsid w:val="00E3725B"/>
    <w:rsid w:val="00E375CD"/>
    <w:rsid w:val="00E37C58"/>
    <w:rsid w:val="00E4081C"/>
    <w:rsid w:val="00E40A16"/>
    <w:rsid w:val="00E40F22"/>
    <w:rsid w:val="00E413AA"/>
    <w:rsid w:val="00E41E03"/>
    <w:rsid w:val="00E43213"/>
    <w:rsid w:val="00E43826"/>
    <w:rsid w:val="00E43907"/>
    <w:rsid w:val="00E4427F"/>
    <w:rsid w:val="00E44344"/>
    <w:rsid w:val="00E44E48"/>
    <w:rsid w:val="00E45901"/>
    <w:rsid w:val="00E45AD0"/>
    <w:rsid w:val="00E46155"/>
    <w:rsid w:val="00E47455"/>
    <w:rsid w:val="00E504C3"/>
    <w:rsid w:val="00E50C8B"/>
    <w:rsid w:val="00E51EBA"/>
    <w:rsid w:val="00E52ACE"/>
    <w:rsid w:val="00E52F7D"/>
    <w:rsid w:val="00E530F2"/>
    <w:rsid w:val="00E5321F"/>
    <w:rsid w:val="00E54085"/>
    <w:rsid w:val="00E542F2"/>
    <w:rsid w:val="00E54AA8"/>
    <w:rsid w:val="00E54B7C"/>
    <w:rsid w:val="00E55026"/>
    <w:rsid w:val="00E5598E"/>
    <w:rsid w:val="00E55AEC"/>
    <w:rsid w:val="00E55E30"/>
    <w:rsid w:val="00E562C8"/>
    <w:rsid w:val="00E56C2C"/>
    <w:rsid w:val="00E572D7"/>
    <w:rsid w:val="00E606DC"/>
    <w:rsid w:val="00E60EAF"/>
    <w:rsid w:val="00E61CB0"/>
    <w:rsid w:val="00E62296"/>
    <w:rsid w:val="00E62A76"/>
    <w:rsid w:val="00E62D38"/>
    <w:rsid w:val="00E63308"/>
    <w:rsid w:val="00E63C46"/>
    <w:rsid w:val="00E64ECB"/>
    <w:rsid w:val="00E65190"/>
    <w:rsid w:val="00E658D4"/>
    <w:rsid w:val="00E67128"/>
    <w:rsid w:val="00E6712E"/>
    <w:rsid w:val="00E67439"/>
    <w:rsid w:val="00E71E20"/>
    <w:rsid w:val="00E72528"/>
    <w:rsid w:val="00E729E7"/>
    <w:rsid w:val="00E730C0"/>
    <w:rsid w:val="00E73DCA"/>
    <w:rsid w:val="00E758A4"/>
    <w:rsid w:val="00E76EF6"/>
    <w:rsid w:val="00E76FA3"/>
    <w:rsid w:val="00E77766"/>
    <w:rsid w:val="00E807C9"/>
    <w:rsid w:val="00E813F2"/>
    <w:rsid w:val="00E818C9"/>
    <w:rsid w:val="00E81B11"/>
    <w:rsid w:val="00E82D19"/>
    <w:rsid w:val="00E838D8"/>
    <w:rsid w:val="00E838EA"/>
    <w:rsid w:val="00E83957"/>
    <w:rsid w:val="00E83B3A"/>
    <w:rsid w:val="00E83F53"/>
    <w:rsid w:val="00E8486E"/>
    <w:rsid w:val="00E8487B"/>
    <w:rsid w:val="00E8497D"/>
    <w:rsid w:val="00E84B24"/>
    <w:rsid w:val="00E84E30"/>
    <w:rsid w:val="00E85464"/>
    <w:rsid w:val="00E86871"/>
    <w:rsid w:val="00E86B7D"/>
    <w:rsid w:val="00E86D8E"/>
    <w:rsid w:val="00E86FD7"/>
    <w:rsid w:val="00E872B7"/>
    <w:rsid w:val="00E903A3"/>
    <w:rsid w:val="00E903B3"/>
    <w:rsid w:val="00E90420"/>
    <w:rsid w:val="00E90EB2"/>
    <w:rsid w:val="00E910C1"/>
    <w:rsid w:val="00E91CBE"/>
    <w:rsid w:val="00E92D12"/>
    <w:rsid w:val="00E92D69"/>
    <w:rsid w:val="00E938EE"/>
    <w:rsid w:val="00E94B18"/>
    <w:rsid w:val="00E9501E"/>
    <w:rsid w:val="00E9525C"/>
    <w:rsid w:val="00E95346"/>
    <w:rsid w:val="00E957F6"/>
    <w:rsid w:val="00E97321"/>
    <w:rsid w:val="00EA0959"/>
    <w:rsid w:val="00EA11BD"/>
    <w:rsid w:val="00EA1A62"/>
    <w:rsid w:val="00EA1D33"/>
    <w:rsid w:val="00EA3ED8"/>
    <w:rsid w:val="00EA5248"/>
    <w:rsid w:val="00EA525C"/>
    <w:rsid w:val="00EA530E"/>
    <w:rsid w:val="00EA6DFD"/>
    <w:rsid w:val="00EA757B"/>
    <w:rsid w:val="00EA77D9"/>
    <w:rsid w:val="00EA7981"/>
    <w:rsid w:val="00EA7AF6"/>
    <w:rsid w:val="00EA7AFC"/>
    <w:rsid w:val="00EB054A"/>
    <w:rsid w:val="00EB08A4"/>
    <w:rsid w:val="00EB0D96"/>
    <w:rsid w:val="00EB1791"/>
    <w:rsid w:val="00EB1D4B"/>
    <w:rsid w:val="00EB2305"/>
    <w:rsid w:val="00EB27D5"/>
    <w:rsid w:val="00EB2C0C"/>
    <w:rsid w:val="00EB3234"/>
    <w:rsid w:val="00EB3CB0"/>
    <w:rsid w:val="00EB4042"/>
    <w:rsid w:val="00EB4A95"/>
    <w:rsid w:val="00EB4C61"/>
    <w:rsid w:val="00EB4D64"/>
    <w:rsid w:val="00EB4E49"/>
    <w:rsid w:val="00EB5081"/>
    <w:rsid w:val="00EB6427"/>
    <w:rsid w:val="00EB7724"/>
    <w:rsid w:val="00EB7905"/>
    <w:rsid w:val="00EC1588"/>
    <w:rsid w:val="00EC179A"/>
    <w:rsid w:val="00EC1976"/>
    <w:rsid w:val="00EC2062"/>
    <w:rsid w:val="00EC3FCA"/>
    <w:rsid w:val="00EC45D4"/>
    <w:rsid w:val="00EC47C3"/>
    <w:rsid w:val="00EC4C1D"/>
    <w:rsid w:val="00EC5629"/>
    <w:rsid w:val="00EC5641"/>
    <w:rsid w:val="00EC5675"/>
    <w:rsid w:val="00EC56D0"/>
    <w:rsid w:val="00EC6EBE"/>
    <w:rsid w:val="00EC79A8"/>
    <w:rsid w:val="00EC7D86"/>
    <w:rsid w:val="00ED0667"/>
    <w:rsid w:val="00ED0DBA"/>
    <w:rsid w:val="00ED1FE2"/>
    <w:rsid w:val="00ED40D9"/>
    <w:rsid w:val="00ED4699"/>
    <w:rsid w:val="00ED585B"/>
    <w:rsid w:val="00ED5A14"/>
    <w:rsid w:val="00ED5E54"/>
    <w:rsid w:val="00ED7B70"/>
    <w:rsid w:val="00EE09B8"/>
    <w:rsid w:val="00EE0B84"/>
    <w:rsid w:val="00EE0DD3"/>
    <w:rsid w:val="00EE16CE"/>
    <w:rsid w:val="00EE2109"/>
    <w:rsid w:val="00EE2437"/>
    <w:rsid w:val="00EE2586"/>
    <w:rsid w:val="00EE3835"/>
    <w:rsid w:val="00EE526E"/>
    <w:rsid w:val="00EE52C9"/>
    <w:rsid w:val="00EE5D67"/>
    <w:rsid w:val="00EE5DE2"/>
    <w:rsid w:val="00EE6065"/>
    <w:rsid w:val="00EE6F66"/>
    <w:rsid w:val="00EF0769"/>
    <w:rsid w:val="00EF1174"/>
    <w:rsid w:val="00EF14C4"/>
    <w:rsid w:val="00EF1AEB"/>
    <w:rsid w:val="00EF1F39"/>
    <w:rsid w:val="00EF2338"/>
    <w:rsid w:val="00EF27FE"/>
    <w:rsid w:val="00EF3073"/>
    <w:rsid w:val="00EF3132"/>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0C3"/>
    <w:rsid w:val="00F063B8"/>
    <w:rsid w:val="00F06595"/>
    <w:rsid w:val="00F06B66"/>
    <w:rsid w:val="00F07638"/>
    <w:rsid w:val="00F07E90"/>
    <w:rsid w:val="00F113B2"/>
    <w:rsid w:val="00F1203E"/>
    <w:rsid w:val="00F13F5F"/>
    <w:rsid w:val="00F1409A"/>
    <w:rsid w:val="00F14C58"/>
    <w:rsid w:val="00F14F57"/>
    <w:rsid w:val="00F1506E"/>
    <w:rsid w:val="00F1534E"/>
    <w:rsid w:val="00F168F0"/>
    <w:rsid w:val="00F17368"/>
    <w:rsid w:val="00F17B38"/>
    <w:rsid w:val="00F17BAF"/>
    <w:rsid w:val="00F229B0"/>
    <w:rsid w:val="00F22F3E"/>
    <w:rsid w:val="00F2379F"/>
    <w:rsid w:val="00F2392E"/>
    <w:rsid w:val="00F23F86"/>
    <w:rsid w:val="00F2403B"/>
    <w:rsid w:val="00F24FAB"/>
    <w:rsid w:val="00F251F2"/>
    <w:rsid w:val="00F260CB"/>
    <w:rsid w:val="00F2698C"/>
    <w:rsid w:val="00F26A89"/>
    <w:rsid w:val="00F26D33"/>
    <w:rsid w:val="00F27DCC"/>
    <w:rsid w:val="00F313D8"/>
    <w:rsid w:val="00F321C0"/>
    <w:rsid w:val="00F32DD4"/>
    <w:rsid w:val="00F33DB5"/>
    <w:rsid w:val="00F34904"/>
    <w:rsid w:val="00F34F67"/>
    <w:rsid w:val="00F3533C"/>
    <w:rsid w:val="00F35667"/>
    <w:rsid w:val="00F35EF5"/>
    <w:rsid w:val="00F35F6C"/>
    <w:rsid w:val="00F3684E"/>
    <w:rsid w:val="00F371F7"/>
    <w:rsid w:val="00F37793"/>
    <w:rsid w:val="00F37A7E"/>
    <w:rsid w:val="00F40961"/>
    <w:rsid w:val="00F40C58"/>
    <w:rsid w:val="00F414DC"/>
    <w:rsid w:val="00F41803"/>
    <w:rsid w:val="00F41C1F"/>
    <w:rsid w:val="00F421C0"/>
    <w:rsid w:val="00F42C97"/>
    <w:rsid w:val="00F43047"/>
    <w:rsid w:val="00F43450"/>
    <w:rsid w:val="00F43F07"/>
    <w:rsid w:val="00F449B5"/>
    <w:rsid w:val="00F44C8C"/>
    <w:rsid w:val="00F4514B"/>
    <w:rsid w:val="00F45CFB"/>
    <w:rsid w:val="00F45DB1"/>
    <w:rsid w:val="00F466F1"/>
    <w:rsid w:val="00F46E2E"/>
    <w:rsid w:val="00F477E4"/>
    <w:rsid w:val="00F50018"/>
    <w:rsid w:val="00F51267"/>
    <w:rsid w:val="00F517B4"/>
    <w:rsid w:val="00F518A4"/>
    <w:rsid w:val="00F526CF"/>
    <w:rsid w:val="00F53242"/>
    <w:rsid w:val="00F5455C"/>
    <w:rsid w:val="00F55F8B"/>
    <w:rsid w:val="00F5673F"/>
    <w:rsid w:val="00F567FF"/>
    <w:rsid w:val="00F56861"/>
    <w:rsid w:val="00F56AF9"/>
    <w:rsid w:val="00F56DEF"/>
    <w:rsid w:val="00F57148"/>
    <w:rsid w:val="00F5792A"/>
    <w:rsid w:val="00F60493"/>
    <w:rsid w:val="00F6136E"/>
    <w:rsid w:val="00F632AD"/>
    <w:rsid w:val="00F639BD"/>
    <w:rsid w:val="00F63BCC"/>
    <w:rsid w:val="00F63D53"/>
    <w:rsid w:val="00F64006"/>
    <w:rsid w:val="00F642A0"/>
    <w:rsid w:val="00F643B0"/>
    <w:rsid w:val="00F644AE"/>
    <w:rsid w:val="00F64B08"/>
    <w:rsid w:val="00F657E0"/>
    <w:rsid w:val="00F65889"/>
    <w:rsid w:val="00F65FD0"/>
    <w:rsid w:val="00F66585"/>
    <w:rsid w:val="00F66890"/>
    <w:rsid w:val="00F702FD"/>
    <w:rsid w:val="00F703AE"/>
    <w:rsid w:val="00F70B8E"/>
    <w:rsid w:val="00F70CFC"/>
    <w:rsid w:val="00F70E74"/>
    <w:rsid w:val="00F720B9"/>
    <w:rsid w:val="00F72FEB"/>
    <w:rsid w:val="00F736E6"/>
    <w:rsid w:val="00F76FC4"/>
    <w:rsid w:val="00F77D34"/>
    <w:rsid w:val="00F800E3"/>
    <w:rsid w:val="00F8055C"/>
    <w:rsid w:val="00F80973"/>
    <w:rsid w:val="00F80C44"/>
    <w:rsid w:val="00F826F8"/>
    <w:rsid w:val="00F82737"/>
    <w:rsid w:val="00F8281B"/>
    <w:rsid w:val="00F82A91"/>
    <w:rsid w:val="00F831FE"/>
    <w:rsid w:val="00F833AB"/>
    <w:rsid w:val="00F835E8"/>
    <w:rsid w:val="00F8551F"/>
    <w:rsid w:val="00F86140"/>
    <w:rsid w:val="00F8687B"/>
    <w:rsid w:val="00F870B1"/>
    <w:rsid w:val="00F87492"/>
    <w:rsid w:val="00F87EAF"/>
    <w:rsid w:val="00F90570"/>
    <w:rsid w:val="00F91A03"/>
    <w:rsid w:val="00F91D33"/>
    <w:rsid w:val="00F92404"/>
    <w:rsid w:val="00F9261E"/>
    <w:rsid w:val="00F93EF9"/>
    <w:rsid w:val="00F9428C"/>
    <w:rsid w:val="00F9556B"/>
    <w:rsid w:val="00F960F8"/>
    <w:rsid w:val="00F9639A"/>
    <w:rsid w:val="00F97859"/>
    <w:rsid w:val="00FA0311"/>
    <w:rsid w:val="00FA2911"/>
    <w:rsid w:val="00FA3AF6"/>
    <w:rsid w:val="00FA3F21"/>
    <w:rsid w:val="00FA42C0"/>
    <w:rsid w:val="00FA43BE"/>
    <w:rsid w:val="00FA45AB"/>
    <w:rsid w:val="00FA5164"/>
    <w:rsid w:val="00FA5189"/>
    <w:rsid w:val="00FA529C"/>
    <w:rsid w:val="00FA54C1"/>
    <w:rsid w:val="00FA5667"/>
    <w:rsid w:val="00FA58A9"/>
    <w:rsid w:val="00FA5D29"/>
    <w:rsid w:val="00FA7E8C"/>
    <w:rsid w:val="00FB0194"/>
    <w:rsid w:val="00FB0E20"/>
    <w:rsid w:val="00FB1198"/>
    <w:rsid w:val="00FB224C"/>
    <w:rsid w:val="00FB254C"/>
    <w:rsid w:val="00FB2F04"/>
    <w:rsid w:val="00FB4BF0"/>
    <w:rsid w:val="00FB5636"/>
    <w:rsid w:val="00FB5B74"/>
    <w:rsid w:val="00FB5FDF"/>
    <w:rsid w:val="00FB61D4"/>
    <w:rsid w:val="00FB7D6C"/>
    <w:rsid w:val="00FB7F71"/>
    <w:rsid w:val="00FC048F"/>
    <w:rsid w:val="00FC0A76"/>
    <w:rsid w:val="00FC2329"/>
    <w:rsid w:val="00FC2606"/>
    <w:rsid w:val="00FC2682"/>
    <w:rsid w:val="00FC26BF"/>
    <w:rsid w:val="00FC27DB"/>
    <w:rsid w:val="00FC2D0E"/>
    <w:rsid w:val="00FC4450"/>
    <w:rsid w:val="00FC591E"/>
    <w:rsid w:val="00FC5EED"/>
    <w:rsid w:val="00FC679C"/>
    <w:rsid w:val="00FC6C36"/>
    <w:rsid w:val="00FC74C4"/>
    <w:rsid w:val="00FC7836"/>
    <w:rsid w:val="00FC788F"/>
    <w:rsid w:val="00FD0F52"/>
    <w:rsid w:val="00FD191B"/>
    <w:rsid w:val="00FD1B0C"/>
    <w:rsid w:val="00FD1BE0"/>
    <w:rsid w:val="00FD2218"/>
    <w:rsid w:val="00FD272E"/>
    <w:rsid w:val="00FD35F6"/>
    <w:rsid w:val="00FD3880"/>
    <w:rsid w:val="00FD501D"/>
    <w:rsid w:val="00FD58F8"/>
    <w:rsid w:val="00FD5E8F"/>
    <w:rsid w:val="00FD6678"/>
    <w:rsid w:val="00FD67AC"/>
    <w:rsid w:val="00FD6C08"/>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3D35"/>
    <w:rsid w:val="00FE4B54"/>
    <w:rsid w:val="00FE573C"/>
    <w:rsid w:val="00FE69C9"/>
    <w:rsid w:val="00FE6D63"/>
    <w:rsid w:val="00FF0840"/>
    <w:rsid w:val="00FF0AD4"/>
    <w:rsid w:val="00FF2EE8"/>
    <w:rsid w:val="00FF30E6"/>
    <w:rsid w:val="00FF35CE"/>
    <w:rsid w:val="00FF3812"/>
    <w:rsid w:val="00FF3F85"/>
    <w:rsid w:val="00FF5AC1"/>
    <w:rsid w:val="00FF5CD1"/>
    <w:rsid w:val="00FF5CEE"/>
    <w:rsid w:val="00FF5E21"/>
    <w:rsid w:val="00FF5FFE"/>
    <w:rsid w:val="00FF7567"/>
    <w:rsid w:val="00FF75C3"/>
    <w:rsid w:val="32407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93"/>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94"/>
    <w:qFormat/>
    <w:uiPriority w:val="0"/>
    <w:pPr>
      <w:keepNext/>
      <w:numPr>
        <w:ilvl w:val="1"/>
        <w:numId w:val="1"/>
      </w:numPr>
      <w:spacing w:before="240" w:after="60"/>
      <w:outlineLvl w:val="1"/>
    </w:pPr>
    <w:rPr>
      <w:rFonts w:ascii="Arial" w:hAnsi="Arial" w:eastAsia="MS Mincho" w:cs="Arial"/>
      <w:b/>
      <w:bCs/>
      <w:iCs/>
      <w:szCs w:val="28"/>
      <w:lang w:eastAsia="zh-CN"/>
    </w:rPr>
  </w:style>
  <w:style w:type="paragraph" w:styleId="5">
    <w:name w:val="heading 3"/>
    <w:basedOn w:val="1"/>
    <w:next w:val="1"/>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71"/>
    <w:unhideWhenUsed/>
    <w:qFormat/>
    <w:uiPriority w:val="0"/>
    <w:pPr>
      <w:keepNext/>
      <w:keepLines/>
      <w:spacing w:before="280" w:after="290" w:line="376" w:lineRule="auto"/>
      <w:outlineLvl w:val="4"/>
    </w:pPr>
    <w:rPr>
      <w:b/>
      <w:bCs/>
      <w:sz w:val="28"/>
      <w:szCs w:val="28"/>
    </w:rPr>
  </w:style>
  <w:style w:type="paragraph" w:styleId="8">
    <w:name w:val="heading 6"/>
    <w:basedOn w:val="9"/>
    <w:next w:val="1"/>
    <w:link w:val="97"/>
    <w:qFormat/>
    <w:uiPriority w:val="0"/>
    <w:pPr>
      <w:tabs>
        <w:tab w:val="left" w:pos="1152"/>
      </w:tabs>
      <w:spacing w:after="120"/>
      <w:ind w:left="1152" w:hanging="1152"/>
      <w:outlineLvl w:val="5"/>
    </w:pPr>
    <w:rPr>
      <w:rFonts w:ascii="inherit" w:hAnsi="inherit" w:eastAsia="宋体"/>
      <w:szCs w:val="28"/>
      <w:lang w:val="zh-CN"/>
    </w:rPr>
  </w:style>
  <w:style w:type="paragraph" w:styleId="10">
    <w:name w:val="heading 7"/>
    <w:basedOn w:val="9"/>
    <w:next w:val="1"/>
    <w:link w:val="98"/>
    <w:qFormat/>
    <w:uiPriority w:val="0"/>
    <w:pPr>
      <w:tabs>
        <w:tab w:val="left" w:pos="1296"/>
      </w:tabs>
      <w:spacing w:after="120"/>
      <w:ind w:left="1296" w:hanging="1296"/>
      <w:outlineLvl w:val="6"/>
    </w:pPr>
    <w:rPr>
      <w:rFonts w:ascii="inherit" w:hAnsi="inherit" w:eastAsia="宋体"/>
      <w:szCs w:val="28"/>
      <w:lang w:val="zh-CN"/>
    </w:rPr>
  </w:style>
  <w:style w:type="paragraph" w:styleId="11">
    <w:name w:val="heading 8"/>
    <w:basedOn w:val="2"/>
    <w:next w:val="1"/>
    <w:link w:val="99"/>
    <w:qFormat/>
    <w:uiPriority w:val="0"/>
    <w:pPr>
      <w:keepLines/>
      <w:numPr>
        <w:numId w:val="0"/>
      </w:numPr>
      <w:pBdr>
        <w:top w:val="single" w:color="auto" w:sz="12" w:space="3"/>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12">
    <w:name w:val="heading 9"/>
    <w:basedOn w:val="11"/>
    <w:next w:val="1"/>
    <w:link w:val="100"/>
    <w:qFormat/>
    <w:uiPriority w:val="0"/>
    <w:pPr>
      <w:tabs>
        <w:tab w:val="left" w:pos="1584"/>
        <w:tab w:val="clear" w:pos="1440"/>
      </w:tabs>
      <w:ind w:left="1584" w:hanging="1584"/>
      <w:outlineLvl w:val="8"/>
    </w:pPr>
  </w:style>
  <w:style w:type="character" w:default="1" w:styleId="33">
    <w:name w:val="Default Paragraph Font"/>
    <w:semiHidden/>
    <w:unhideWhenUsed/>
    <w:uiPriority w:val="1"/>
  </w:style>
  <w:style w:type="table" w:default="1" w:styleId="29">
    <w:name w:val="Normal Table"/>
    <w:semiHidden/>
    <w:unhideWhenUsed/>
    <w:uiPriority w:val="99"/>
    <w:tblPr>
      <w:tblLayout w:type="fixed"/>
      <w:tblCellMar>
        <w:top w:w="0" w:type="dxa"/>
        <w:left w:w="108" w:type="dxa"/>
        <w:bottom w:w="0" w:type="dxa"/>
        <w:right w:w="108" w:type="dxa"/>
      </w:tblCellMar>
    </w:tblPr>
  </w:style>
  <w:style w:type="paragraph" w:styleId="3">
    <w:name w:val="Body Text"/>
    <w:basedOn w:val="1"/>
    <w:link w:val="44"/>
    <w:uiPriority w:val="0"/>
    <w:pPr>
      <w:spacing w:after="120"/>
      <w:jc w:val="both"/>
    </w:pPr>
    <w:rPr>
      <w:rFonts w:eastAsia="MS Mincho"/>
    </w:rPr>
  </w:style>
  <w:style w:type="paragraph" w:customStyle="1" w:styleId="9">
    <w:name w:val="H6"/>
    <w:basedOn w:val="7"/>
    <w:next w:val="1"/>
    <w:qFormat/>
    <w:uiPriority w:val="0"/>
    <w:pPr>
      <w:spacing w:before="120" w:after="180" w:line="240" w:lineRule="auto"/>
      <w:ind w:left="1985" w:hanging="1985"/>
      <w:outlineLvl w:val="9"/>
    </w:pPr>
    <w:rPr>
      <w:rFonts w:ascii="Arial" w:hAnsi="Arial" w:eastAsia="Malgun Gothic"/>
      <w:b w:val="0"/>
      <w:bCs w:val="0"/>
      <w:sz w:val="20"/>
      <w:szCs w:val="20"/>
      <w:lang w:val="en-GB"/>
    </w:rPr>
  </w:style>
  <w:style w:type="paragraph" w:styleId="13">
    <w:name w:val="List 3"/>
    <w:basedOn w:val="1"/>
    <w:qFormat/>
    <w:uiPriority w:val="0"/>
    <w:pPr>
      <w:ind w:left="100" w:leftChars="400" w:hanging="200" w:hangingChars="200"/>
      <w:contextualSpacing/>
    </w:pPr>
  </w:style>
  <w:style w:type="paragraph" w:styleId="14">
    <w:name w:val="caption"/>
    <w:basedOn w:val="1"/>
    <w:next w:val="1"/>
    <w:link w:val="39"/>
    <w:qFormat/>
    <w:uiPriority w:val="0"/>
    <w:pPr>
      <w:overflowPunct w:val="0"/>
      <w:autoSpaceDE w:val="0"/>
      <w:autoSpaceDN w:val="0"/>
      <w:adjustRightInd w:val="0"/>
      <w:spacing w:before="120" w:after="120"/>
      <w:textAlignment w:val="baseline"/>
    </w:pPr>
    <w:rPr>
      <w:rFonts w:eastAsia="宋体"/>
      <w:szCs w:val="20"/>
      <w:lang w:val="en-GB"/>
    </w:rPr>
  </w:style>
  <w:style w:type="paragraph" w:styleId="15">
    <w:name w:val="Document Map"/>
    <w:basedOn w:val="1"/>
    <w:semiHidden/>
    <w:uiPriority w:val="0"/>
    <w:pPr>
      <w:shd w:val="clear" w:color="auto" w:fill="000080"/>
    </w:pPr>
  </w:style>
  <w:style w:type="paragraph" w:styleId="16">
    <w:name w:val="annotation text"/>
    <w:basedOn w:val="1"/>
    <w:link w:val="68"/>
    <w:qFormat/>
    <w:uiPriority w:val="99"/>
  </w:style>
  <w:style w:type="paragraph" w:styleId="17">
    <w:name w:val="List 2"/>
    <w:basedOn w:val="18"/>
    <w:uiPriority w:val="0"/>
    <w:pPr>
      <w:numPr>
        <w:ilvl w:val="0"/>
        <w:numId w:val="2"/>
      </w:numPr>
      <w:spacing w:before="180"/>
    </w:pPr>
    <w:rPr>
      <w:rFonts w:ascii="Arial" w:hAnsi="Arial"/>
      <w:sz w:val="22"/>
      <w:szCs w:val="20"/>
    </w:rPr>
  </w:style>
  <w:style w:type="paragraph" w:styleId="18">
    <w:name w:val="List"/>
    <w:basedOn w:val="1"/>
    <w:qFormat/>
    <w:uiPriority w:val="0"/>
    <w:pPr>
      <w:ind w:left="283" w:hanging="283"/>
    </w:pPr>
  </w:style>
  <w:style w:type="paragraph" w:styleId="19">
    <w:name w:val="endnote text"/>
    <w:basedOn w:val="1"/>
    <w:link w:val="50"/>
    <w:qFormat/>
    <w:uiPriority w:val="0"/>
    <w:rPr>
      <w:szCs w:val="20"/>
    </w:rPr>
  </w:style>
  <w:style w:type="paragraph" w:styleId="20">
    <w:name w:val="Balloon Text"/>
    <w:basedOn w:val="1"/>
    <w:semiHidden/>
    <w:qFormat/>
    <w:uiPriority w:val="0"/>
    <w:rPr>
      <w:sz w:val="18"/>
      <w:szCs w:val="18"/>
    </w:rPr>
  </w:style>
  <w:style w:type="paragraph" w:styleId="21">
    <w:name w:val="footer"/>
    <w:basedOn w:val="1"/>
    <w:qFormat/>
    <w:uiPriority w:val="0"/>
    <w:pPr>
      <w:tabs>
        <w:tab w:val="center" w:pos="4153"/>
        <w:tab w:val="right" w:pos="8306"/>
      </w:tabs>
      <w:snapToGrid w:val="0"/>
    </w:pPr>
    <w:rPr>
      <w:sz w:val="18"/>
      <w:szCs w:val="18"/>
    </w:rPr>
  </w:style>
  <w:style w:type="paragraph" w:styleId="22">
    <w:name w:val="header"/>
    <w:basedOn w:val="1"/>
    <w:link w:val="55"/>
    <w:uiPriority w:val="99"/>
    <w:pPr>
      <w:tabs>
        <w:tab w:val="center" w:pos="4536"/>
        <w:tab w:val="right" w:pos="9072"/>
      </w:tabs>
    </w:pPr>
    <w:rPr>
      <w:rFonts w:ascii="Arial" w:hAnsi="Arial" w:eastAsia="MS Mincho"/>
      <w:b/>
    </w:rPr>
  </w:style>
  <w:style w:type="paragraph" w:styleId="23">
    <w:name w:val="footnote text"/>
    <w:basedOn w:val="1"/>
    <w:link w:val="49"/>
    <w:uiPriority w:val="0"/>
    <w:rPr>
      <w:szCs w:val="20"/>
    </w:rPr>
  </w:style>
  <w:style w:type="paragraph" w:styleId="24">
    <w:name w:val="List 5"/>
    <w:basedOn w:val="1"/>
    <w:qFormat/>
    <w:uiPriority w:val="0"/>
    <w:pPr>
      <w:ind w:left="100" w:leftChars="800" w:hanging="200" w:hangingChars="200"/>
      <w:contextualSpacing/>
    </w:pPr>
  </w:style>
  <w:style w:type="paragraph" w:styleId="25">
    <w:name w:val="table of figures"/>
    <w:basedOn w:val="1"/>
    <w:next w:val="1"/>
    <w:qFormat/>
    <w:uiPriority w:val="99"/>
  </w:style>
  <w:style w:type="paragraph" w:styleId="26">
    <w:name w:val="List 4"/>
    <w:basedOn w:val="1"/>
    <w:qFormat/>
    <w:uiPriority w:val="0"/>
    <w:pPr>
      <w:ind w:left="100" w:leftChars="600" w:hanging="200" w:hangingChars="200"/>
      <w:contextualSpacing/>
    </w:pPr>
  </w:style>
  <w:style w:type="paragraph" w:styleId="27">
    <w:name w:val="Normal (Web)"/>
    <w:basedOn w:val="1"/>
    <w:unhideWhenUsed/>
    <w:qFormat/>
    <w:uiPriority w:val="99"/>
    <w:pPr>
      <w:spacing w:before="100" w:beforeAutospacing="1" w:after="100" w:afterAutospacing="1"/>
    </w:pPr>
    <w:rPr>
      <w:sz w:val="24"/>
      <w:lang w:eastAsia="zh-CN"/>
    </w:rPr>
  </w:style>
  <w:style w:type="paragraph" w:styleId="28">
    <w:name w:val="annotation subject"/>
    <w:basedOn w:val="16"/>
    <w:next w:val="16"/>
    <w:semiHidden/>
    <w:uiPriority w:val="0"/>
    <w:rPr>
      <w:b/>
      <w:bCs/>
    </w:r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1">
    <w:name w:val="Table Classic 3"/>
    <w:basedOn w:val="29"/>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32">
    <w:name w:val="Table Grid 8"/>
    <w:basedOn w:val="29"/>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34">
    <w:name w:val="endnote reference"/>
    <w:basedOn w:val="33"/>
    <w:uiPriority w:val="0"/>
    <w:rPr>
      <w:vertAlign w:val="superscript"/>
    </w:rPr>
  </w:style>
  <w:style w:type="character" w:styleId="35">
    <w:name w:val="page number"/>
    <w:basedOn w:val="33"/>
    <w:qFormat/>
    <w:uiPriority w:val="0"/>
  </w:style>
  <w:style w:type="character" w:styleId="36">
    <w:name w:val="Hyperlink"/>
    <w:basedOn w:val="33"/>
    <w:unhideWhenUsed/>
    <w:qFormat/>
    <w:uiPriority w:val="99"/>
    <w:rPr>
      <w:color w:val="0000FF"/>
      <w:u w:val="single"/>
    </w:rPr>
  </w:style>
  <w:style w:type="character" w:styleId="37">
    <w:name w:val="annotation reference"/>
    <w:qFormat/>
    <w:uiPriority w:val="0"/>
    <w:rPr>
      <w:sz w:val="21"/>
      <w:szCs w:val="21"/>
    </w:rPr>
  </w:style>
  <w:style w:type="character" w:styleId="38">
    <w:name w:val="footnote reference"/>
    <w:basedOn w:val="33"/>
    <w:uiPriority w:val="0"/>
    <w:rPr>
      <w:vertAlign w:val="superscript"/>
    </w:rPr>
  </w:style>
  <w:style w:type="character" w:customStyle="1" w:styleId="39">
    <w:name w:val="Caption Char1"/>
    <w:link w:val="14"/>
    <w:qFormat/>
    <w:uiPriority w:val="0"/>
    <w:rPr>
      <w:lang w:val="en-GB" w:eastAsia="en-US" w:bidi="ar-SA"/>
    </w:rPr>
  </w:style>
  <w:style w:type="paragraph" w:styleId="40">
    <w:name w:val="List Paragraph"/>
    <w:basedOn w:val="1"/>
    <w:link w:val="45"/>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41">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42">
    <w:name w:val="Comments Char"/>
    <w:link w:val="43"/>
    <w:qFormat/>
    <w:locked/>
    <w:uiPriority w:val="0"/>
    <w:rPr>
      <w:rFonts w:ascii="Arial" w:hAnsi="Arial" w:eastAsia="MS Mincho" w:cs="Arial"/>
      <w:i/>
      <w:sz w:val="18"/>
      <w:szCs w:val="24"/>
    </w:rPr>
  </w:style>
  <w:style w:type="paragraph" w:customStyle="1" w:styleId="43">
    <w:name w:val="Comments"/>
    <w:basedOn w:val="1"/>
    <w:link w:val="42"/>
    <w:qFormat/>
    <w:uiPriority w:val="0"/>
    <w:pPr>
      <w:spacing w:before="40"/>
    </w:pPr>
    <w:rPr>
      <w:rFonts w:ascii="Arial" w:hAnsi="Arial" w:eastAsia="MS Mincho"/>
      <w:i/>
      <w:sz w:val="18"/>
    </w:rPr>
  </w:style>
  <w:style w:type="character" w:customStyle="1" w:styleId="44">
    <w:name w:val="Body Text Char"/>
    <w:link w:val="3"/>
    <w:qFormat/>
    <w:uiPriority w:val="0"/>
    <w:rPr>
      <w:rFonts w:eastAsia="MS Mincho"/>
      <w:szCs w:val="24"/>
      <w:lang w:eastAsia="en-US"/>
    </w:rPr>
  </w:style>
  <w:style w:type="character" w:customStyle="1" w:styleId="45">
    <w:name w:val="List Paragraph Char"/>
    <w:link w:val="40"/>
    <w:qFormat/>
    <w:uiPriority w:val="34"/>
    <w:rPr>
      <w:rFonts w:eastAsia="MS Mincho"/>
      <w:lang w:val="en-GB" w:eastAsia="en-US"/>
    </w:rPr>
  </w:style>
  <w:style w:type="character" w:customStyle="1" w:styleId="46">
    <w:name w:val="Body Text Char1"/>
    <w:basedOn w:val="33"/>
    <w:qFormat/>
    <w:locked/>
    <w:uiPriority w:val="99"/>
    <w:rPr>
      <w:rFonts w:eastAsia="MS Mincho" w:cs="Times New Roman"/>
      <w:sz w:val="24"/>
      <w:szCs w:val="24"/>
      <w:lang w:eastAsia="en-US"/>
    </w:rPr>
  </w:style>
  <w:style w:type="paragraph" w:customStyle="1" w:styleId="47">
    <w:name w:val="Doc-text2"/>
    <w:basedOn w:val="1"/>
    <w:link w:val="48"/>
    <w:qFormat/>
    <w:uiPriority w:val="0"/>
    <w:pPr>
      <w:tabs>
        <w:tab w:val="left" w:pos="1622"/>
      </w:tabs>
      <w:ind w:left="1622" w:hanging="363"/>
    </w:pPr>
    <w:rPr>
      <w:rFonts w:ascii="Arial" w:hAnsi="Arial" w:eastAsia="MS Mincho"/>
      <w:lang w:val="en-GB" w:eastAsia="en-GB"/>
    </w:rPr>
  </w:style>
  <w:style w:type="character" w:customStyle="1" w:styleId="48">
    <w:name w:val="Doc-text2 Char"/>
    <w:link w:val="47"/>
    <w:uiPriority w:val="0"/>
    <w:rPr>
      <w:rFonts w:ascii="Arial" w:hAnsi="Arial" w:eastAsia="MS Mincho"/>
      <w:szCs w:val="24"/>
      <w:lang w:val="en-GB" w:eastAsia="en-GB"/>
    </w:rPr>
  </w:style>
  <w:style w:type="character" w:customStyle="1" w:styleId="49">
    <w:name w:val="Footnote Text Char"/>
    <w:basedOn w:val="33"/>
    <w:link w:val="23"/>
    <w:uiPriority w:val="0"/>
    <w:rPr>
      <w:rFonts w:eastAsia="Times New Roman"/>
      <w:lang w:eastAsia="en-US"/>
    </w:rPr>
  </w:style>
  <w:style w:type="character" w:customStyle="1" w:styleId="50">
    <w:name w:val="Endnote Text Char"/>
    <w:basedOn w:val="33"/>
    <w:link w:val="19"/>
    <w:qFormat/>
    <w:uiPriority w:val="0"/>
    <w:rPr>
      <w:rFonts w:eastAsia="Times New Roman"/>
      <w:lang w:eastAsia="en-US"/>
    </w:rPr>
  </w:style>
  <w:style w:type="character" w:customStyle="1" w:styleId="51">
    <w:name w:val="apple-converted-space"/>
    <w:basedOn w:val="33"/>
    <w:uiPriority w:val="0"/>
  </w:style>
  <w:style w:type="paragraph" w:customStyle="1" w:styleId="52">
    <w:name w:val="Revision"/>
    <w:hidden/>
    <w:semiHidden/>
    <w:qFormat/>
    <w:uiPriority w:val="99"/>
    <w:rPr>
      <w:rFonts w:ascii="Times New Roman" w:hAnsi="Times New Roman" w:eastAsia="Times New Roman" w:cs="Times New Roman"/>
      <w:szCs w:val="24"/>
      <w:lang w:val="en-US" w:eastAsia="en-US" w:bidi="ar-SA"/>
    </w:rPr>
  </w:style>
  <w:style w:type="paragraph" w:customStyle="1" w:styleId="53">
    <w:name w:val="TF"/>
    <w:basedOn w:val="1"/>
    <w:link w:val="54"/>
    <w:qFormat/>
    <w:uiPriority w:val="0"/>
    <w:pPr>
      <w:keepLines/>
      <w:spacing w:after="240"/>
      <w:jc w:val="center"/>
    </w:pPr>
    <w:rPr>
      <w:rFonts w:ascii="Arial" w:hAnsi="Arial" w:eastAsia="MS Mincho"/>
      <w:b/>
      <w:szCs w:val="20"/>
      <w:lang w:val="en-GB"/>
    </w:rPr>
  </w:style>
  <w:style w:type="character" w:customStyle="1" w:styleId="54">
    <w:name w:val="TF Char"/>
    <w:basedOn w:val="33"/>
    <w:link w:val="53"/>
    <w:qFormat/>
    <w:uiPriority w:val="0"/>
    <w:rPr>
      <w:rFonts w:ascii="Arial" w:hAnsi="Arial" w:eastAsia="MS Mincho"/>
      <w:b/>
      <w:lang w:val="en-GB" w:eastAsia="en-US"/>
    </w:rPr>
  </w:style>
  <w:style w:type="character" w:customStyle="1" w:styleId="55">
    <w:name w:val="Header Char"/>
    <w:basedOn w:val="33"/>
    <w:link w:val="22"/>
    <w:qFormat/>
    <w:uiPriority w:val="99"/>
    <w:rPr>
      <w:rFonts w:ascii="Arial" w:hAnsi="Arial" w:eastAsia="MS Mincho"/>
      <w:b/>
      <w:szCs w:val="24"/>
      <w:lang w:eastAsia="en-US"/>
    </w:rPr>
  </w:style>
  <w:style w:type="paragraph" w:customStyle="1" w:styleId="56">
    <w:name w:val="NO"/>
    <w:basedOn w:val="1"/>
    <w:link w:val="57"/>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7">
    <w:name w:val="NO Char1"/>
    <w:link w:val="56"/>
    <w:uiPriority w:val="0"/>
    <w:rPr>
      <w:rFonts w:eastAsia="Times New Roman"/>
      <w:lang w:val="en-GB" w:eastAsia="en-US"/>
    </w:rPr>
  </w:style>
  <w:style w:type="paragraph" w:customStyle="1" w:styleId="58">
    <w:name w:val="B1"/>
    <w:basedOn w:val="18"/>
    <w:link w:val="61"/>
    <w:qFormat/>
    <w:uiPriority w:val="0"/>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59">
    <w:name w:val="B2"/>
    <w:basedOn w:val="17"/>
    <w:link w:val="62"/>
    <w:uiPriority w:val="0"/>
    <w:pPr>
      <w:numPr>
        <w:ilvl w:val="0"/>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rPr>
  </w:style>
  <w:style w:type="paragraph" w:customStyle="1" w:styleId="60">
    <w:name w:val="B3"/>
    <w:basedOn w:val="13"/>
    <w:link w:val="63"/>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rPr>
  </w:style>
  <w:style w:type="character" w:customStyle="1" w:styleId="61">
    <w:name w:val="B1 Char"/>
    <w:link w:val="58"/>
    <w:qFormat/>
    <w:uiPriority w:val="0"/>
    <w:rPr>
      <w:rFonts w:eastAsiaTheme="minorEastAsia"/>
      <w:lang w:val="en-GB"/>
    </w:rPr>
  </w:style>
  <w:style w:type="character" w:customStyle="1" w:styleId="62">
    <w:name w:val="B2 Char"/>
    <w:link w:val="59"/>
    <w:qFormat/>
    <w:uiPriority w:val="0"/>
    <w:rPr>
      <w:rFonts w:eastAsiaTheme="minorEastAsia"/>
      <w:lang w:val="en-GB"/>
    </w:rPr>
  </w:style>
  <w:style w:type="character" w:customStyle="1" w:styleId="63">
    <w:name w:val="B3 Char"/>
    <w:link w:val="60"/>
    <w:qFormat/>
    <w:uiPriority w:val="0"/>
    <w:rPr>
      <w:rFonts w:eastAsiaTheme="minorEastAsia"/>
      <w:lang w:val="en-GB"/>
    </w:rPr>
  </w:style>
  <w:style w:type="paragraph" w:customStyle="1" w:styleId="64">
    <w:name w:val="B4"/>
    <w:basedOn w:val="26"/>
    <w:link w:val="65"/>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rPr>
  </w:style>
  <w:style w:type="character" w:customStyle="1" w:styleId="65">
    <w:name w:val="B4 Char"/>
    <w:link w:val="64"/>
    <w:qFormat/>
    <w:uiPriority w:val="0"/>
    <w:rPr>
      <w:rFonts w:eastAsiaTheme="minorEastAsia"/>
      <w:lang w:val="en-GB"/>
    </w:rPr>
  </w:style>
  <w:style w:type="paragraph" w:customStyle="1" w:styleId="66">
    <w:name w:val="B5"/>
    <w:basedOn w:val="24"/>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ko-KR"/>
    </w:rPr>
  </w:style>
  <w:style w:type="paragraph" w:customStyle="1" w:styleId="67">
    <w:name w:val="Guidance"/>
    <w:basedOn w:val="1"/>
    <w:qFormat/>
    <w:uiPriority w:val="0"/>
    <w:pPr>
      <w:spacing w:after="180"/>
    </w:pPr>
    <w:rPr>
      <w:rFonts w:eastAsia="Malgun Gothic"/>
      <w:i/>
      <w:color w:val="0000FF"/>
      <w:szCs w:val="20"/>
      <w:lang w:val="en-GB"/>
    </w:rPr>
  </w:style>
  <w:style w:type="character" w:customStyle="1" w:styleId="68">
    <w:name w:val="Comment Text Char"/>
    <w:link w:val="16"/>
    <w:qFormat/>
    <w:uiPriority w:val="99"/>
    <w:rPr>
      <w:rFonts w:eastAsia="Times New Roman"/>
      <w:szCs w:val="24"/>
      <w:lang w:eastAsia="en-US"/>
    </w:rPr>
  </w:style>
  <w:style w:type="paragraph" w:customStyle="1" w:styleId="69">
    <w:name w:val="text intend 1"/>
    <w:basedOn w:val="1"/>
    <w:qFormat/>
    <w:uiPriority w:val="0"/>
    <w:pPr>
      <w:numPr>
        <w:ilvl w:val="0"/>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70">
    <w:name w:val="Proposal"/>
    <w:basedOn w:val="1"/>
    <w:qFormat/>
    <w:uiPriority w:val="0"/>
    <w:pPr>
      <w:numPr>
        <w:ilvl w:val="0"/>
        <w:numId w:val="4"/>
      </w:numPr>
      <w:tabs>
        <w:tab w:val="left" w:pos="1701"/>
        <w:tab w:val="clear" w:pos="1304"/>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71">
    <w:name w:val="Heading 5 Char"/>
    <w:basedOn w:val="33"/>
    <w:link w:val="7"/>
    <w:semiHidden/>
    <w:qFormat/>
    <w:uiPriority w:val="0"/>
    <w:rPr>
      <w:rFonts w:eastAsia="Times New Roman"/>
      <w:b/>
      <w:bCs/>
      <w:sz w:val="28"/>
      <w:szCs w:val="28"/>
      <w:lang w:eastAsia="en-US"/>
    </w:rPr>
  </w:style>
  <w:style w:type="character" w:customStyle="1" w:styleId="72">
    <w:name w:val="NO Char"/>
    <w:qFormat/>
    <w:uiPriority w:val="0"/>
    <w:rPr>
      <w:lang w:val="en-GB" w:eastAsia="en-US"/>
    </w:rPr>
  </w:style>
  <w:style w:type="paragraph" w:customStyle="1" w:styleId="73">
    <w:name w:val="EQ"/>
    <w:basedOn w:val="1"/>
    <w:next w:val="1"/>
    <w:qFormat/>
    <w:uiPriority w:val="0"/>
    <w:pPr>
      <w:keepLines/>
      <w:tabs>
        <w:tab w:val="center" w:pos="4536"/>
        <w:tab w:val="right" w:pos="9072"/>
      </w:tabs>
      <w:spacing w:after="180"/>
    </w:pPr>
    <w:rPr>
      <w:rFonts w:eastAsiaTheme="minorEastAsia"/>
      <w:szCs w:val="20"/>
      <w:lang w:val="en-GB"/>
    </w:rPr>
  </w:style>
  <w:style w:type="character" w:customStyle="1" w:styleId="74">
    <w:name w:val="B1 Zchn"/>
    <w:qFormat/>
    <w:uiPriority w:val="0"/>
    <w:rPr>
      <w:lang w:eastAsia="en-US"/>
    </w:rPr>
  </w:style>
  <w:style w:type="paragraph" w:customStyle="1" w:styleId="75">
    <w:name w:val="text intend 2"/>
    <w:basedOn w:val="1"/>
    <w:qFormat/>
    <w:uiPriority w:val="0"/>
    <w:pPr>
      <w:numPr>
        <w:ilvl w:val="0"/>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76">
    <w:name w:val="TAH"/>
    <w:basedOn w:val="77"/>
    <w:link w:val="80"/>
    <w:qFormat/>
    <w:uiPriority w:val="0"/>
    <w:rPr>
      <w:b/>
    </w:rPr>
  </w:style>
  <w:style w:type="paragraph" w:customStyle="1" w:styleId="77">
    <w:name w:val="TAC"/>
    <w:basedOn w:val="1"/>
    <w:link w:val="79"/>
    <w:qFormat/>
    <w:uiPriority w:val="0"/>
    <w:pPr>
      <w:keepNext/>
      <w:keepLines/>
      <w:jc w:val="center"/>
    </w:pPr>
    <w:rPr>
      <w:rFonts w:ascii="Arial" w:hAnsi="Arial" w:eastAsia="Malgun Gothic"/>
      <w:sz w:val="18"/>
      <w:szCs w:val="20"/>
      <w:lang w:val="en-GB"/>
    </w:rPr>
  </w:style>
  <w:style w:type="paragraph" w:customStyle="1" w:styleId="78">
    <w:name w:val="TH"/>
    <w:basedOn w:val="1"/>
    <w:link w:val="81"/>
    <w:qFormat/>
    <w:uiPriority w:val="0"/>
    <w:pPr>
      <w:keepNext/>
      <w:keepLines/>
      <w:spacing w:before="60" w:after="180"/>
      <w:jc w:val="center"/>
    </w:pPr>
    <w:rPr>
      <w:rFonts w:ascii="Arial" w:hAnsi="Arial" w:eastAsia="Malgun Gothic"/>
      <w:b/>
      <w:szCs w:val="20"/>
      <w:lang w:val="en-GB"/>
    </w:rPr>
  </w:style>
  <w:style w:type="character" w:customStyle="1" w:styleId="79">
    <w:name w:val="TAC Char"/>
    <w:link w:val="77"/>
    <w:qFormat/>
    <w:uiPriority w:val="0"/>
    <w:rPr>
      <w:rFonts w:ascii="Arial" w:hAnsi="Arial" w:eastAsia="Malgun Gothic"/>
      <w:sz w:val="18"/>
      <w:lang w:val="en-GB" w:eastAsia="en-US"/>
    </w:rPr>
  </w:style>
  <w:style w:type="character" w:customStyle="1" w:styleId="80">
    <w:name w:val="TAH Car"/>
    <w:link w:val="76"/>
    <w:qFormat/>
    <w:uiPriority w:val="0"/>
    <w:rPr>
      <w:rFonts w:ascii="Arial" w:hAnsi="Arial" w:eastAsia="Malgun Gothic"/>
      <w:b/>
      <w:sz w:val="18"/>
      <w:lang w:val="en-GB" w:eastAsia="en-US"/>
    </w:rPr>
  </w:style>
  <w:style w:type="character" w:customStyle="1" w:styleId="81">
    <w:name w:val="TH Char"/>
    <w:link w:val="78"/>
    <w:qFormat/>
    <w:uiPriority w:val="0"/>
    <w:rPr>
      <w:rFonts w:ascii="Arial" w:hAnsi="Arial" w:eastAsia="Malgun Gothic"/>
      <w:b/>
      <w:lang w:val="en-GB" w:eastAsia="en-US"/>
    </w:rPr>
  </w:style>
  <w:style w:type="paragraph" w:customStyle="1" w:styleId="82">
    <w:name w:val="text"/>
    <w:basedOn w:val="1"/>
    <w:link w:val="84"/>
    <w:qFormat/>
    <w:uiPriority w:val="0"/>
    <w:pPr>
      <w:widowControl w:val="0"/>
      <w:spacing w:after="240"/>
      <w:jc w:val="both"/>
    </w:pPr>
    <w:rPr>
      <w:rFonts w:ascii="Calibri" w:hAnsi="Calibri" w:eastAsia="宋体"/>
      <w:kern w:val="2"/>
      <w:sz w:val="24"/>
      <w:szCs w:val="20"/>
      <w:lang w:eastAsia="zh-CN"/>
    </w:rPr>
  </w:style>
  <w:style w:type="paragraph" w:customStyle="1" w:styleId="83">
    <w:name w:val="bullet1"/>
    <w:basedOn w:val="82"/>
    <w:link w:val="86"/>
    <w:qFormat/>
    <w:uiPriority w:val="0"/>
    <w:pPr>
      <w:widowControl/>
      <w:numPr>
        <w:ilvl w:val="0"/>
        <w:numId w:val="6"/>
      </w:numPr>
      <w:spacing w:after="0"/>
      <w:jc w:val="left"/>
    </w:pPr>
    <w:rPr>
      <w:szCs w:val="24"/>
      <w:lang w:val="en-GB"/>
    </w:rPr>
  </w:style>
  <w:style w:type="character" w:customStyle="1" w:styleId="84">
    <w:name w:val="text Char"/>
    <w:link w:val="82"/>
    <w:qFormat/>
    <w:uiPriority w:val="0"/>
    <w:rPr>
      <w:rFonts w:ascii="Calibri" w:hAnsi="Calibri" w:eastAsia="宋体"/>
      <w:kern w:val="2"/>
      <w:sz w:val="24"/>
    </w:rPr>
  </w:style>
  <w:style w:type="paragraph" w:customStyle="1" w:styleId="85">
    <w:name w:val="bullet2"/>
    <w:basedOn w:val="82"/>
    <w:qFormat/>
    <w:uiPriority w:val="0"/>
    <w:pPr>
      <w:widowControl/>
      <w:numPr>
        <w:ilvl w:val="1"/>
        <w:numId w:val="6"/>
      </w:numPr>
      <w:tabs>
        <w:tab w:val="left" w:pos="360"/>
      </w:tabs>
      <w:spacing w:after="0"/>
      <w:ind w:left="0" w:firstLine="0"/>
      <w:jc w:val="left"/>
    </w:pPr>
    <w:rPr>
      <w:rFonts w:ascii="Times" w:hAnsi="Times"/>
      <w:szCs w:val="24"/>
      <w:lang w:val="en-GB"/>
    </w:rPr>
  </w:style>
  <w:style w:type="character" w:customStyle="1" w:styleId="86">
    <w:name w:val="bullet1 Char"/>
    <w:link w:val="83"/>
    <w:qFormat/>
    <w:uiPriority w:val="0"/>
    <w:rPr>
      <w:rFonts w:ascii="Calibri" w:hAnsi="Calibri"/>
      <w:kern w:val="2"/>
      <w:sz w:val="24"/>
      <w:szCs w:val="24"/>
      <w:lang w:val="en-GB"/>
    </w:rPr>
  </w:style>
  <w:style w:type="paragraph" w:customStyle="1" w:styleId="87">
    <w:name w:val="bullet3"/>
    <w:basedOn w:val="82"/>
    <w:qFormat/>
    <w:uiPriority w:val="0"/>
    <w:pPr>
      <w:widowControl/>
      <w:numPr>
        <w:ilvl w:val="2"/>
        <w:numId w:val="6"/>
      </w:numPr>
      <w:tabs>
        <w:tab w:val="left" w:pos="360"/>
      </w:tabs>
      <w:spacing w:after="0"/>
      <w:ind w:left="0" w:firstLine="0"/>
      <w:jc w:val="left"/>
    </w:pPr>
    <w:rPr>
      <w:rFonts w:ascii="Times" w:hAnsi="Times" w:eastAsia="Batang"/>
      <w:kern w:val="0"/>
      <w:sz w:val="20"/>
      <w:szCs w:val="24"/>
      <w:lang w:val="en-GB" w:eastAsia="en-US"/>
    </w:rPr>
  </w:style>
  <w:style w:type="paragraph" w:customStyle="1" w:styleId="88">
    <w:name w:val="bullet4"/>
    <w:basedOn w:val="82"/>
    <w:qFormat/>
    <w:uiPriority w:val="0"/>
    <w:pPr>
      <w:widowControl/>
      <w:numPr>
        <w:ilvl w:val="3"/>
        <w:numId w:val="6"/>
      </w:numPr>
      <w:tabs>
        <w:tab w:val="left" w:pos="360"/>
      </w:tabs>
      <w:spacing w:after="0"/>
      <w:ind w:left="0" w:firstLine="0"/>
      <w:jc w:val="left"/>
    </w:pPr>
    <w:rPr>
      <w:rFonts w:ascii="Times" w:hAnsi="Times" w:eastAsia="Batang"/>
      <w:kern w:val="0"/>
      <w:sz w:val="20"/>
      <w:szCs w:val="24"/>
      <w:lang w:val="en-GB" w:eastAsia="en-US"/>
    </w:rPr>
  </w:style>
  <w:style w:type="paragraph" w:customStyle="1" w:styleId="89">
    <w:name w:val="TAL"/>
    <w:basedOn w:val="1"/>
    <w:link w:val="90"/>
    <w:qFormat/>
    <w:uiPriority w:val="0"/>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90">
    <w:name w:val="TAL Car"/>
    <w:link w:val="89"/>
    <w:qFormat/>
    <w:uiPriority w:val="0"/>
    <w:rPr>
      <w:rFonts w:ascii="Arial" w:hAnsi="Arial" w:eastAsia="Times New Roman"/>
      <w:sz w:val="18"/>
      <w:lang w:val="en-GB" w:eastAsia="ja-JP"/>
    </w:rPr>
  </w:style>
  <w:style w:type="paragraph" w:customStyle="1" w:styleId="91">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92">
    <w:name w:val="PL Char"/>
    <w:link w:val="91"/>
    <w:qFormat/>
    <w:uiPriority w:val="0"/>
    <w:rPr>
      <w:rFonts w:ascii="Courier New" w:hAnsi="Courier New" w:eastAsia="Times New Roman"/>
      <w:sz w:val="16"/>
    </w:rPr>
  </w:style>
  <w:style w:type="character" w:customStyle="1" w:styleId="93">
    <w:name w:val="Heading 1 Char"/>
    <w:basedOn w:val="33"/>
    <w:link w:val="2"/>
    <w:qFormat/>
    <w:uiPriority w:val="0"/>
    <w:rPr>
      <w:rFonts w:ascii="Arial" w:hAnsi="Arial" w:cs="Arial"/>
      <w:b/>
      <w:bCs/>
      <w:kern w:val="32"/>
      <w:sz w:val="28"/>
      <w:szCs w:val="32"/>
    </w:rPr>
  </w:style>
  <w:style w:type="character" w:customStyle="1" w:styleId="94">
    <w:name w:val="Heading 2 Char"/>
    <w:basedOn w:val="33"/>
    <w:link w:val="4"/>
    <w:qFormat/>
    <w:uiPriority w:val="0"/>
    <w:rPr>
      <w:rFonts w:ascii="Arial" w:hAnsi="Arial" w:eastAsia="MS Mincho" w:cs="Arial"/>
      <w:b/>
      <w:bCs/>
      <w:iCs/>
      <w:szCs w:val="28"/>
    </w:rPr>
  </w:style>
  <w:style w:type="character" w:customStyle="1" w:styleId="95">
    <w:name w:val="B1 Char1"/>
    <w:qFormat/>
    <w:uiPriority w:val="0"/>
    <w:rPr>
      <w:lang w:val="en-GB" w:eastAsia="en-US"/>
    </w:rPr>
  </w:style>
  <w:style w:type="paragraph" w:customStyle="1" w:styleId="96">
    <w:name w:val="B6"/>
    <w:basedOn w:val="66"/>
    <w:qFormat/>
    <w:uiPriority w:val="0"/>
    <w:pPr>
      <w:overflowPunct/>
      <w:autoSpaceDE/>
      <w:autoSpaceDN/>
      <w:adjustRightInd/>
      <w:ind w:left="1985"/>
      <w:textAlignment w:val="auto"/>
    </w:pPr>
    <w:rPr>
      <w:rFonts w:eastAsia="Malgun Gothic"/>
      <w:lang w:eastAsia="en-US"/>
    </w:rPr>
  </w:style>
  <w:style w:type="character" w:customStyle="1" w:styleId="97">
    <w:name w:val="Heading 6 Char"/>
    <w:basedOn w:val="33"/>
    <w:link w:val="8"/>
    <w:qFormat/>
    <w:uiPriority w:val="0"/>
    <w:rPr>
      <w:rFonts w:ascii="inherit" w:hAnsi="inherit"/>
      <w:szCs w:val="28"/>
      <w:lang w:val="zh-CN" w:eastAsia="en-US"/>
    </w:rPr>
  </w:style>
  <w:style w:type="character" w:customStyle="1" w:styleId="98">
    <w:name w:val="Heading 7 Char"/>
    <w:basedOn w:val="33"/>
    <w:link w:val="10"/>
    <w:qFormat/>
    <w:uiPriority w:val="0"/>
    <w:rPr>
      <w:rFonts w:ascii="inherit" w:hAnsi="inherit"/>
      <w:szCs w:val="28"/>
      <w:lang w:val="zh-CN" w:eastAsia="en-US"/>
    </w:rPr>
  </w:style>
  <w:style w:type="character" w:customStyle="1" w:styleId="99">
    <w:name w:val="Heading 8 Char"/>
    <w:basedOn w:val="33"/>
    <w:link w:val="11"/>
    <w:qFormat/>
    <w:uiPriority w:val="0"/>
    <w:rPr>
      <w:rFonts w:ascii="inherit" w:hAnsi="inherit" w:cs="Calibri Light"/>
      <w:sz w:val="36"/>
      <w:lang w:val="en-GB" w:eastAsia="en-US"/>
    </w:rPr>
  </w:style>
  <w:style w:type="character" w:customStyle="1" w:styleId="100">
    <w:name w:val="Heading 9 Char"/>
    <w:basedOn w:val="33"/>
    <w:link w:val="12"/>
    <w:qFormat/>
    <w:uiPriority w:val="0"/>
    <w:rPr>
      <w:rFonts w:ascii="inherit" w:hAnsi="inherit" w:cs="Calibri Light"/>
      <w:sz w:val="36"/>
      <w:lang w:val="en-GB" w:eastAsia="en-US"/>
    </w:rPr>
  </w:style>
  <w:style w:type="paragraph" w:customStyle="1" w:styleId="101">
    <w:name w:val="Char Char Char Char Char Char Char Char Char Char Char Char Char Char1 Char Char Char Char Char Char Char Char"/>
    <w:semiHidden/>
    <w:qFormat/>
    <w:uiPriority w:val="0"/>
    <w:pPr>
      <w:keepNext/>
      <w:numPr>
        <w:ilvl w:val="0"/>
        <w:numId w:val="7"/>
      </w:numPr>
      <w:tabs>
        <w:tab w:val="left" w:pos="510"/>
        <w:tab w:val="clear" w:pos="851"/>
      </w:tabs>
      <w:autoSpaceDE w:val="0"/>
      <w:autoSpaceDN w:val="0"/>
      <w:adjustRightInd w:val="0"/>
      <w:spacing w:before="60" w:after="60"/>
      <w:ind w:left="510" w:hanging="510"/>
      <w:jc w:val="both"/>
    </w:pPr>
    <w:rPr>
      <w:rFonts w:ascii="inherit" w:hAnsi="inherit" w:eastAsia="Arial" w:cs="inherit"/>
      <w:color w:val="0000FF"/>
      <w:kern w:val="2"/>
      <w:lang w:val="en-US" w:eastAsia="zh-CN" w:bidi="ar-SA"/>
    </w:rPr>
  </w:style>
  <w:style w:type="paragraph" w:customStyle="1" w:styleId="102">
    <w:name w:val="Editor's Note"/>
    <w:basedOn w:val="56"/>
    <w:qFormat/>
    <w:uiPriority w:val="0"/>
    <w:pPr>
      <w:overflowPunct/>
      <w:autoSpaceDE/>
      <w:autoSpaceDN/>
      <w:adjustRightInd/>
      <w:textAlignment w:val="auto"/>
    </w:pPr>
    <w:rPr>
      <w:rFonts w:eastAsiaTheme="minorEastAsia"/>
      <w:color w:val="FF0000"/>
    </w:rPr>
  </w:style>
  <w:style w:type="character" w:customStyle="1" w:styleId="103">
    <w:name w:val="B1 (文字)"/>
    <w:qFormat/>
    <w:locked/>
    <w:uiPriority w:val="99"/>
    <w:rPr>
      <w:lang w:eastAsia="en-US"/>
    </w:rPr>
  </w:style>
  <w:style w:type="paragraph" w:customStyle="1" w:styleId="104">
    <w:name w:val="LGTdoc_본문"/>
    <w:basedOn w:val="1"/>
    <w:link w:val="105"/>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105">
    <w:name w:val="LGTdoc_본문 Char"/>
    <w:link w:val="104"/>
    <w:qFormat/>
    <w:uiPriority w:val="0"/>
    <w:rPr>
      <w:rFonts w:eastAsia="Batang"/>
      <w:kern w:val="2"/>
      <w:sz w:val="22"/>
      <w:szCs w:val="24"/>
      <w:lang w:val="en-GB" w:eastAsia="ko-KR"/>
    </w:rPr>
  </w:style>
  <w:style w:type="paragraph" w:customStyle="1" w:styleId="106">
    <w:name w:val="Reference"/>
    <w:basedOn w:val="1"/>
    <w:qFormat/>
    <w:uiPriority w:val="0"/>
    <w:pPr>
      <w:numPr>
        <w:ilvl w:val="0"/>
        <w:numId w:val="8"/>
      </w:numPr>
      <w:overflowPunct w:val="0"/>
      <w:autoSpaceDE w:val="0"/>
      <w:autoSpaceDN w:val="0"/>
      <w:adjustRightInd w:val="0"/>
      <w:spacing w:after="120"/>
      <w:jc w:val="both"/>
      <w:textAlignment w:val="baseline"/>
    </w:pPr>
    <w:rPr>
      <w:rFonts w:ascii="Arial" w:hAnsi="Arial"/>
      <w:szCs w:val="20"/>
      <w:lang w:val="en-GB" w:eastAsia="zh-CN"/>
    </w:rPr>
  </w:style>
  <w:style w:type="paragraph" w:customStyle="1" w:styleId="10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8">
    <w:name w:val="Agreement"/>
    <w:basedOn w:val="1"/>
    <w:next w:val="1"/>
    <w:qFormat/>
    <w:uiPriority w:val="0"/>
    <w:pPr>
      <w:numPr>
        <w:ilvl w:val="0"/>
        <w:numId w:val="9"/>
      </w:numPr>
      <w:spacing w:before="60"/>
    </w:pPr>
    <w:rPr>
      <w:rFonts w:ascii="Arial" w:hAnsi="Arial" w:eastAsia="MS Mincho"/>
      <w:b/>
      <w:lang w:val="en-GB" w:eastAsia="en-GB"/>
    </w:rPr>
  </w:style>
  <w:style w:type="paragraph" w:customStyle="1" w:styleId="109">
    <w:name w:val="Doc-title"/>
    <w:basedOn w:val="1"/>
    <w:next w:val="47"/>
    <w:link w:val="110"/>
    <w:qFormat/>
    <w:uiPriority w:val="0"/>
    <w:pPr>
      <w:spacing w:before="60"/>
      <w:ind w:left="1259" w:hanging="1259"/>
    </w:pPr>
    <w:rPr>
      <w:rFonts w:ascii="Arial" w:hAnsi="Arial" w:eastAsia="MS Mincho"/>
      <w:lang w:val="en-GB" w:eastAsia="en-GB"/>
    </w:rPr>
  </w:style>
  <w:style w:type="character" w:customStyle="1" w:styleId="110">
    <w:name w:val="Doc-title Char"/>
    <w:link w:val="109"/>
    <w:qFormat/>
    <w:uiPriority w:val="0"/>
    <w:rPr>
      <w:rFonts w:ascii="Arial" w:hAnsi="Arial" w:eastAsia="MS Mincho"/>
      <w:szCs w:val="24"/>
      <w:lang w:val="en-GB" w:eastAsia="en-GB"/>
    </w:rPr>
  </w:style>
  <w:style w:type="character" w:styleId="111">
    <w:name w:val="Placeholder Text"/>
    <w:basedOn w:val="33"/>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6.emf"/><Relationship Id="rId17" Type="http://schemas.openxmlformats.org/officeDocument/2006/relationships/oleObject" Target="embeddings/oleObject6.bin"/><Relationship Id="rId16" Type="http://schemas.openxmlformats.org/officeDocument/2006/relationships/image" Target="media/image5.emf"/><Relationship Id="rId15" Type="http://schemas.openxmlformats.org/officeDocument/2006/relationships/oleObject" Target="embeddings/oleObject5.bin"/><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06214E-38D4-453F-97E0-BA35CA1A090F}">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5</Pages>
  <Words>1864</Words>
  <Characters>10628</Characters>
  <Lines>88</Lines>
  <Paragraphs>24</Paragraphs>
  <TotalTime>0</TotalTime>
  <ScaleCrop>false</ScaleCrop>
  <LinksUpToDate>false</LinksUpToDate>
  <CharactersWithSpaces>12468</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2019-05-01T18:37:00Z</dcterms:created>
  <dc:creator>DaTang Mobile</dc:creator>
  <cp:lastModifiedBy>ChenHao</cp:lastModifiedBy>
  <cp:lastPrinted>2007-08-28T14:45:00Z</cp:lastPrinted>
  <dcterms:modified xsi:type="dcterms:W3CDTF">2019-05-03T00:09:35Z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